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  <w:u w:val="single" w:color="auto"/>
        </w:rPr>
        <w:t>天津医药2015年12月第43卷第12期</w:t>
      </w:r>
      <w:r>
        <w:rPr>
          <w:rFonts w:ascii="宋体" w:hAnsi="宋体" w:eastAsia="宋体" w:cs="宋体"/>
          <w:spacing w:val="12"/>
          <w:sz w:val="18"/>
          <w:szCs w:val="18"/>
          <w:u w:val="single" w:color="auto"/>
        </w:rPr>
        <w:t xml:space="preserve">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</w:t>
      </w:r>
      <w:r>
        <w:rPr>
          <w:rFonts w:ascii="宋体" w:hAnsi="宋体" w:eastAsia="宋体" w:cs="宋体"/>
          <w:spacing w:val="2"/>
          <w:sz w:val="18"/>
          <w:szCs w:val="18"/>
        </w:rPr>
        <w:t>1447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7" w:line="219" w:lineRule="auto"/>
        <w:ind w:left="218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不同麻醉深度对舌下微循环的影响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68" w:line="216" w:lineRule="auto"/>
        <w:ind w:left="22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刘志慧12,王国林',李佩铂²,谢克亮',刘</w:t>
      </w:r>
      <w:r>
        <w:rPr>
          <w:rFonts w:ascii="宋体" w:hAnsi="宋体" w:eastAsia="宋体" w:cs="宋体"/>
          <w:spacing w:val="-3"/>
          <w:sz w:val="21"/>
          <w:szCs w:val="21"/>
        </w:rPr>
        <w:t>玲玲',于泳浩1△</w:t>
      </w:r>
    </w:p>
    <w:p>
      <w:pPr>
        <w:spacing w:before="265" w:line="256" w:lineRule="auto"/>
        <w:ind w:left="299" w:right="270" w:firstLine="4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0"/>
          <w:sz w:val="18"/>
          <w:szCs w:val="18"/>
        </w:rPr>
        <w:t>摘要：目的</w:t>
      </w:r>
      <w:r>
        <w:rPr>
          <w:rFonts w:ascii="宋体" w:hAnsi="宋体" w:eastAsia="宋体" w:cs="宋体"/>
          <w:spacing w:val="29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10"/>
          <w:sz w:val="18"/>
          <w:szCs w:val="18"/>
        </w:rPr>
        <w:t>观察不同麻醉深度对舌下微循环的影响。方法</w:t>
      </w:r>
      <w:r>
        <w:rPr>
          <w:rFonts w:ascii="宋体" w:hAnsi="宋体" w:eastAsia="宋体" w:cs="宋体"/>
          <w:spacing w:val="7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20例</w:t>
      </w:r>
      <w:r>
        <w:rPr>
          <w:rFonts w:ascii="宋体" w:hAnsi="宋体" w:eastAsia="宋体" w:cs="宋体"/>
          <w:spacing w:val="9"/>
          <w:sz w:val="18"/>
          <w:szCs w:val="18"/>
        </w:rPr>
        <w:t>行甲状腺手术且</w:t>
      </w:r>
      <w:r>
        <w:rPr>
          <w:rFonts w:ascii="宋体" w:hAnsi="宋体" w:eastAsia="宋体" w:cs="宋体"/>
          <w:sz w:val="18"/>
          <w:szCs w:val="18"/>
        </w:rPr>
        <w:t>ASA</w:t>
      </w:r>
      <w:r>
        <w:rPr>
          <w:rFonts w:ascii="宋体" w:hAnsi="宋体" w:eastAsia="宋体" w:cs="宋体"/>
          <w:spacing w:val="9"/>
          <w:sz w:val="18"/>
          <w:szCs w:val="18"/>
        </w:rPr>
        <w:t>分级I~Ⅱ级患者。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静脉注射咪达唑仑0.05mg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·kg¹、舒芬太尼0.3</w:t>
      </w:r>
      <w:r>
        <w:rPr>
          <w:rFonts w:ascii="宋体" w:hAnsi="宋体" w:eastAsia="宋体" w:cs="宋体"/>
          <w:spacing w:val="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μg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·kg'、罗库溴铵0.6mg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·kg',持续静脉靶控</w:t>
      </w:r>
      <w:r>
        <w:rPr>
          <w:rFonts w:ascii="宋体" w:hAnsi="宋体" w:eastAsia="宋体" w:cs="宋体"/>
          <w:spacing w:val="-12"/>
          <w:sz w:val="18"/>
          <w:szCs w:val="18"/>
        </w:rPr>
        <w:t>输注丙泊酚3.0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mg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2"/>
          <w:sz w:val="18"/>
          <w:szCs w:val="18"/>
        </w:rPr>
        <w:t>·L¹进</w:t>
      </w:r>
      <w:r>
        <w:rPr>
          <w:rFonts w:ascii="宋体" w:hAnsi="宋体" w:eastAsia="宋体" w:cs="宋体"/>
          <w:sz w:val="18"/>
          <w:szCs w:val="18"/>
        </w:rPr>
        <w:t xml:space="preserve">   行麻醉诱导和麻醉维持，气管插管后行机械通气。目标靶浓度每隔4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min增加0.5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mg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 xml:space="preserve">·L'进行BIS值调节。分别在   </w:t>
      </w:r>
      <w:r>
        <w:rPr>
          <w:rFonts w:ascii="宋体" w:hAnsi="宋体" w:eastAsia="宋体" w:cs="宋体"/>
          <w:spacing w:val="-1"/>
          <w:sz w:val="18"/>
          <w:szCs w:val="18"/>
        </w:rPr>
        <w:t>T1[脑电双频指数(BIS)基础值]、T2(50&lt;BIS≤60)、T3(40&lt;BIS≤50)和T4(30&lt;BIS≤40)4个时点</w:t>
      </w:r>
      <w:r>
        <w:rPr>
          <w:rFonts w:ascii="宋体" w:hAnsi="宋体" w:eastAsia="宋体" w:cs="宋体"/>
          <w:spacing w:val="-2"/>
          <w:sz w:val="18"/>
          <w:szCs w:val="18"/>
        </w:rPr>
        <w:t>应用旁流暗视野技术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3"/>
          <w:sz w:val="18"/>
          <w:szCs w:val="18"/>
        </w:rPr>
        <w:t>(SDF)测定患者舌下微循环</w:t>
      </w:r>
      <w:r>
        <w:rPr>
          <w:rFonts w:ascii="宋体" w:hAnsi="宋体" w:eastAsia="宋体" w:cs="宋体"/>
          <w:spacing w:val="-4"/>
          <w:sz w:val="18"/>
          <w:szCs w:val="18"/>
        </w:rPr>
        <w:t>状态，选择舌下微血管(直径≤25</w:t>
      </w:r>
      <w:r>
        <w:rPr>
          <w:rFonts w:ascii="宋体" w:hAnsi="宋体" w:eastAsia="宋体" w:cs="宋体"/>
          <w:spacing w:val="4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μm)灌注血管密度(</w:t>
      </w:r>
      <w:r>
        <w:rPr>
          <w:rFonts w:ascii="宋体" w:hAnsi="宋体" w:eastAsia="宋体" w:cs="宋体"/>
          <w:spacing w:val="-3"/>
          <w:sz w:val="18"/>
          <w:szCs w:val="18"/>
        </w:rPr>
        <w:t>PVD</w:t>
      </w:r>
      <w:r>
        <w:rPr>
          <w:rFonts w:ascii="宋体" w:hAnsi="宋体" w:eastAsia="宋体" w:cs="宋体"/>
          <w:spacing w:val="-4"/>
          <w:sz w:val="18"/>
          <w:szCs w:val="18"/>
        </w:rPr>
        <w:t>)、总血管密度(</w:t>
      </w:r>
      <w:r>
        <w:rPr>
          <w:rFonts w:ascii="宋体" w:hAnsi="宋体" w:eastAsia="宋体" w:cs="宋体"/>
          <w:spacing w:val="-3"/>
          <w:sz w:val="18"/>
          <w:szCs w:val="18"/>
        </w:rPr>
        <w:t>TVD</w:t>
      </w:r>
      <w:r>
        <w:rPr>
          <w:rFonts w:ascii="宋体" w:hAnsi="宋体" w:eastAsia="宋体" w:cs="宋体"/>
          <w:spacing w:val="-4"/>
          <w:sz w:val="18"/>
          <w:szCs w:val="18"/>
        </w:rPr>
        <w:t>)、灌注血管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2"/>
          <w:sz w:val="18"/>
          <w:szCs w:val="18"/>
        </w:rPr>
        <w:t>比例(</w:t>
      </w:r>
      <w:r>
        <w:rPr>
          <w:rFonts w:ascii="宋体" w:hAnsi="宋体" w:eastAsia="宋体" w:cs="宋体"/>
          <w:sz w:val="18"/>
          <w:szCs w:val="18"/>
        </w:rPr>
        <w:t>PPV</w:t>
      </w:r>
      <w:r>
        <w:rPr>
          <w:rFonts w:ascii="宋体" w:hAnsi="宋体" w:eastAsia="宋体" w:cs="宋体"/>
          <w:spacing w:val="2"/>
          <w:sz w:val="18"/>
          <w:szCs w:val="18"/>
        </w:rPr>
        <w:t>)和微血管流动指数(</w:t>
      </w:r>
      <w:r>
        <w:rPr>
          <w:rFonts w:ascii="宋体" w:hAnsi="宋体" w:eastAsia="宋体" w:cs="宋体"/>
          <w:sz w:val="18"/>
          <w:szCs w:val="18"/>
        </w:rPr>
        <w:t>MFI</w:t>
      </w:r>
      <w:r>
        <w:rPr>
          <w:rFonts w:ascii="宋体" w:hAnsi="宋体" w:eastAsia="宋体" w:cs="宋体"/>
          <w:spacing w:val="2"/>
          <w:sz w:val="18"/>
          <w:szCs w:val="18"/>
        </w:rPr>
        <w:t>)作为评价指标。同时考察4个时点的平均动脉压(</w:t>
      </w:r>
      <w:r>
        <w:rPr>
          <w:rFonts w:ascii="宋体" w:hAnsi="宋体" w:eastAsia="宋体" w:cs="宋体"/>
          <w:sz w:val="18"/>
          <w:szCs w:val="18"/>
        </w:rPr>
        <w:t>MAP</w:t>
      </w:r>
      <w:r>
        <w:rPr>
          <w:rFonts w:ascii="宋体" w:hAnsi="宋体" w:eastAsia="宋体" w:cs="宋体"/>
          <w:spacing w:val="2"/>
          <w:sz w:val="18"/>
          <w:szCs w:val="18"/>
        </w:rPr>
        <w:t>)、心率、体温和动脉血气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8"/>
          <w:sz w:val="18"/>
          <w:szCs w:val="18"/>
        </w:rPr>
        <w:t>情况。结果</w:t>
      </w:r>
      <w:r>
        <w:rPr>
          <w:rFonts w:ascii="宋体" w:hAnsi="宋体" w:eastAsia="宋体" w:cs="宋体"/>
          <w:spacing w:val="7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与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T1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比较，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T2</w:t>
      </w:r>
      <w:r>
        <w:rPr>
          <w:rFonts w:ascii="宋体" w:hAnsi="宋体" w:eastAsia="宋体" w:cs="宋体"/>
          <w:spacing w:val="8"/>
          <w:sz w:val="18"/>
          <w:szCs w:val="18"/>
        </w:rPr>
        <w:t>时</w:t>
      </w:r>
      <w:r>
        <w:rPr>
          <w:rFonts w:ascii="Times New Roman" w:hAnsi="Times New Roman" w:eastAsia="Times New Roman" w:cs="Times New Roman"/>
          <w:sz w:val="18"/>
          <w:szCs w:val="18"/>
        </w:rPr>
        <w:t>PVD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z w:val="18"/>
          <w:szCs w:val="18"/>
        </w:rPr>
        <w:t>TVD</w:t>
      </w:r>
      <w:r>
        <w:rPr>
          <w:rFonts w:ascii="宋体" w:hAnsi="宋体" w:eastAsia="宋体" w:cs="宋体"/>
          <w:spacing w:val="8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z w:val="18"/>
          <w:szCs w:val="18"/>
        </w:rPr>
        <w:t>PPV</w:t>
      </w:r>
      <w:r>
        <w:rPr>
          <w:rFonts w:ascii="宋体" w:hAnsi="宋体" w:eastAsia="宋体" w:cs="宋体"/>
          <w:spacing w:val="8"/>
          <w:sz w:val="18"/>
          <w:szCs w:val="18"/>
        </w:rPr>
        <w:t>下降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(P&lt;0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01),</w:t>
      </w:r>
      <w:r>
        <w:rPr>
          <w:rFonts w:ascii="Times New Roman" w:hAnsi="Times New Roman" w:eastAsia="Times New Roman" w:cs="Times New Roman"/>
          <w:sz w:val="18"/>
          <w:szCs w:val="18"/>
        </w:rPr>
        <w:t>MFI</w:t>
      </w:r>
      <w:r>
        <w:rPr>
          <w:rFonts w:ascii="宋体" w:hAnsi="宋体" w:eastAsia="宋体" w:cs="宋体"/>
          <w:spacing w:val="7"/>
          <w:sz w:val="18"/>
          <w:szCs w:val="18"/>
        </w:rPr>
        <w:t>差异无统计学意义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(P&gt;0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05);T3</w:t>
      </w:r>
      <w:r>
        <w:rPr>
          <w:rFonts w:ascii="宋体" w:hAnsi="宋体" w:eastAsia="宋体" w:cs="宋体"/>
          <w:spacing w:val="7"/>
          <w:sz w:val="18"/>
          <w:szCs w:val="18"/>
        </w:rPr>
        <w:t>时</w:t>
      </w:r>
      <w:r>
        <w:rPr>
          <w:rFonts w:ascii="Times New Roman" w:hAnsi="Times New Roman" w:eastAsia="Times New Roman" w:cs="Times New Roman"/>
          <w:sz w:val="18"/>
          <w:szCs w:val="18"/>
        </w:rPr>
        <w:t>PVD</w:t>
      </w:r>
      <w:r>
        <w:rPr>
          <w:rFonts w:ascii="宋体" w:hAnsi="宋体" w:eastAsia="宋体" w:cs="宋体"/>
          <w:spacing w:val="7"/>
          <w:sz w:val="18"/>
          <w:szCs w:val="18"/>
        </w:rPr>
        <w:t>、</w:t>
      </w:r>
    </w:p>
    <w:p>
      <w:pPr>
        <w:spacing w:before="53" w:line="212" w:lineRule="auto"/>
        <w:ind w:left="299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TVD</w:t>
      </w:r>
      <w:r>
        <w:rPr>
          <w:rFonts w:ascii="Times New Roman" w:hAnsi="Times New Roman" w:eastAsia="Times New Roman" w:cs="Times New Roman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z w:val="18"/>
          <w:szCs w:val="18"/>
        </w:rPr>
        <w:t>PPV</w:t>
      </w:r>
      <w:r>
        <w:rPr>
          <w:rFonts w:ascii="宋体" w:hAnsi="宋体" w:eastAsia="宋体" w:cs="宋体"/>
          <w:spacing w:val="3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z w:val="18"/>
          <w:szCs w:val="18"/>
        </w:rPr>
        <w:t>MFI</w:t>
      </w:r>
      <w:r>
        <w:rPr>
          <w:rFonts w:ascii="宋体" w:hAnsi="宋体" w:eastAsia="宋体" w:cs="宋体"/>
          <w:spacing w:val="3"/>
          <w:sz w:val="18"/>
          <w:szCs w:val="18"/>
        </w:rPr>
        <w:t>均下降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(P&lt;0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.05);T4</w:t>
      </w:r>
      <w:r>
        <w:rPr>
          <w:rFonts w:ascii="宋体" w:hAnsi="宋体" w:eastAsia="宋体" w:cs="宋体"/>
          <w:spacing w:val="3"/>
          <w:sz w:val="18"/>
          <w:szCs w:val="18"/>
        </w:rPr>
        <w:t>时</w:t>
      </w:r>
      <w:r>
        <w:rPr>
          <w:rFonts w:ascii="Times New Roman" w:hAnsi="Times New Roman" w:eastAsia="Times New Roman" w:cs="Times New Roman"/>
          <w:sz w:val="18"/>
          <w:szCs w:val="18"/>
        </w:rPr>
        <w:t>PVD</w:t>
      </w:r>
      <w:r>
        <w:rPr>
          <w:rFonts w:ascii="Times New Roman" w:hAnsi="Times New Roman" w:eastAsia="Times New Roman" w:cs="Times New Roman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z w:val="18"/>
          <w:szCs w:val="18"/>
        </w:rPr>
        <w:t>TVD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z w:val="18"/>
          <w:szCs w:val="18"/>
        </w:rPr>
        <w:t>PPV</w:t>
      </w:r>
      <w:r>
        <w:rPr>
          <w:rFonts w:ascii="宋体" w:hAnsi="宋体" w:eastAsia="宋体" w:cs="宋体"/>
          <w:spacing w:val="3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z w:val="18"/>
          <w:szCs w:val="18"/>
        </w:rPr>
        <w:t>MFI</w:t>
      </w:r>
      <w:r>
        <w:rPr>
          <w:rFonts w:ascii="宋体" w:hAnsi="宋体" w:eastAsia="宋体" w:cs="宋体"/>
          <w:spacing w:val="3"/>
          <w:sz w:val="18"/>
          <w:szCs w:val="18"/>
        </w:rPr>
        <w:t>下降明显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(P&lt;0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.01);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T2</w:t>
      </w:r>
      <w:r>
        <w:rPr>
          <w:rFonts w:ascii="宋体" w:hAnsi="宋体" w:eastAsia="宋体" w:cs="宋体"/>
          <w:spacing w:val="2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T3</w:t>
      </w:r>
      <w:r>
        <w:rPr>
          <w:rFonts w:ascii="宋体" w:hAnsi="宋体" w:eastAsia="宋体" w:cs="宋体"/>
          <w:spacing w:val="2"/>
          <w:sz w:val="18"/>
          <w:szCs w:val="18"/>
        </w:rPr>
        <w:t>相比，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PVD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sz w:val="18"/>
          <w:szCs w:val="18"/>
        </w:rPr>
        <w:t>TVD</w:t>
      </w:r>
      <w:r>
        <w:rPr>
          <w:rFonts w:ascii="宋体" w:hAnsi="宋体" w:eastAsia="宋体" w:cs="宋体"/>
          <w:spacing w:val="2"/>
          <w:sz w:val="18"/>
          <w:szCs w:val="18"/>
        </w:rPr>
        <w:t>、</w:t>
      </w:r>
    </w:p>
    <w:p>
      <w:pPr>
        <w:spacing w:before="73" w:line="243" w:lineRule="auto"/>
        <w:ind w:left="299" w:right="4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PPV</w:t>
      </w:r>
      <w:r>
        <w:rPr>
          <w:rFonts w:ascii="宋体" w:hAnsi="宋体" w:eastAsia="宋体" w:cs="宋体"/>
          <w:spacing w:val="13"/>
          <w:sz w:val="18"/>
          <w:szCs w:val="18"/>
        </w:rPr>
        <w:t>和</w:t>
      </w:r>
      <w:r>
        <w:rPr>
          <w:rFonts w:ascii="宋体" w:hAnsi="宋体" w:eastAsia="宋体" w:cs="宋体"/>
          <w:sz w:val="18"/>
          <w:szCs w:val="18"/>
        </w:rPr>
        <w:t>MFI</w:t>
      </w:r>
      <w:r>
        <w:rPr>
          <w:rFonts w:ascii="宋体" w:hAnsi="宋体" w:eastAsia="宋体" w:cs="宋体"/>
          <w:spacing w:val="13"/>
          <w:sz w:val="18"/>
          <w:szCs w:val="18"/>
        </w:rPr>
        <w:t>差异无统计学意义(P&gt;0.05)。结论将</w:t>
      </w:r>
      <w:r>
        <w:rPr>
          <w:rFonts w:ascii="宋体" w:hAnsi="宋体" w:eastAsia="宋体" w:cs="宋体"/>
          <w:sz w:val="18"/>
          <w:szCs w:val="18"/>
        </w:rPr>
        <w:t>BIS</w:t>
      </w:r>
      <w:r>
        <w:rPr>
          <w:rFonts w:ascii="宋体" w:hAnsi="宋体" w:eastAsia="宋体" w:cs="宋体"/>
          <w:spacing w:val="13"/>
          <w:sz w:val="18"/>
          <w:szCs w:val="18"/>
        </w:rPr>
        <w:t>值控制在≤40~50范围，能在较好地抑制手术引起的应激</w:t>
      </w:r>
      <w:r>
        <w:rPr>
          <w:rFonts w:ascii="宋体" w:hAnsi="宋体" w:eastAsia="宋体" w:cs="宋体"/>
          <w:spacing w:val="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反应的同时，对微循环影响较小，且能保持血流动力学的相</w:t>
      </w:r>
      <w:r>
        <w:rPr>
          <w:rFonts w:ascii="宋体" w:hAnsi="宋体" w:eastAsia="宋体" w:cs="宋体"/>
          <w:spacing w:val="-7"/>
          <w:sz w:val="18"/>
          <w:szCs w:val="18"/>
        </w:rPr>
        <w:t>对稳定。</w:t>
      </w:r>
    </w:p>
    <w:p>
      <w:pPr>
        <w:spacing w:before="107" w:line="213" w:lineRule="auto"/>
        <w:ind w:left="72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17"/>
          <w:sz w:val="18"/>
          <w:szCs w:val="18"/>
        </w:rPr>
        <w:t>关键词：</w:t>
      </w:r>
      <w:r>
        <w:rPr>
          <w:rFonts w:ascii="黑体" w:hAnsi="黑体" w:eastAsia="黑体" w:cs="黑体"/>
          <w:spacing w:val="-30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17"/>
          <w:sz w:val="18"/>
          <w:szCs w:val="18"/>
        </w:rPr>
        <w:t>微循环；舌；应激；麻醉深度；脑电双频指数；旁流暗</w:t>
      </w:r>
      <w:r>
        <w:rPr>
          <w:rFonts w:ascii="黑体" w:hAnsi="黑体" w:eastAsia="黑体" w:cs="黑体"/>
          <w:spacing w:val="-18"/>
          <w:sz w:val="18"/>
          <w:szCs w:val="18"/>
        </w:rPr>
        <w:t>视野技术</w:t>
      </w:r>
    </w:p>
    <w:p>
      <w:pPr>
        <w:spacing w:before="51" w:line="212" w:lineRule="auto"/>
        <w:ind w:left="7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黑体" w:hAnsi="黑体" w:eastAsia="黑体" w:cs="黑体"/>
          <w:spacing w:val="-4"/>
          <w:sz w:val="18"/>
          <w:szCs w:val="18"/>
        </w:rPr>
        <w:t>中图分类号：R614.2</w:t>
      </w:r>
      <w:r>
        <w:rPr>
          <w:rFonts w:ascii="黑体" w:hAnsi="黑体" w:eastAsia="黑体" w:cs="黑体"/>
          <w:spacing w:val="25"/>
          <w:sz w:val="18"/>
          <w:szCs w:val="18"/>
        </w:rPr>
        <w:t xml:space="preserve">   </w:t>
      </w:r>
      <w:r>
        <w:rPr>
          <w:rFonts w:ascii="黑体" w:hAnsi="黑体" w:eastAsia="黑体" w:cs="黑体"/>
          <w:spacing w:val="-4"/>
          <w:sz w:val="18"/>
          <w:szCs w:val="18"/>
        </w:rPr>
        <w:t>文献标志码：A</w:t>
      </w:r>
      <w:r>
        <w:rPr>
          <w:rFonts w:ascii="黑体" w:hAnsi="黑体" w:eastAsia="黑体" w:cs="黑体"/>
          <w:spacing w:val="3"/>
          <w:sz w:val="18"/>
          <w:szCs w:val="18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4"/>
          <w:sz w:val="18"/>
          <w:szCs w:val="18"/>
        </w:rPr>
        <w:t>DOI:</w:t>
      </w: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10.</w:t>
      </w:r>
      <w:r>
        <w:rPr>
          <w:rFonts w:ascii="Times New Roman" w:hAnsi="Times New Roman" w:eastAsia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11958/j.issn.0253-9896.2015.12.027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61" w:line="189" w:lineRule="auto"/>
        <w:ind w:left="16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Effect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various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anaesthesia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depth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sublingual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microcirculation</w:t>
      </w:r>
    </w:p>
    <w:p>
      <w:pPr>
        <w:spacing w:before="94" w:line="192" w:lineRule="auto"/>
        <w:ind w:left="183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LIU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Zhihuit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2,</w:t>
      </w:r>
      <w:r>
        <w:rPr>
          <w:rFonts w:ascii="Times New Roman" w:hAnsi="Times New Roman" w:eastAsia="Times New Roman" w:cs="Times New Roman"/>
          <w:sz w:val="18"/>
          <w:szCs w:val="18"/>
        </w:rPr>
        <w:t>WANG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Guolin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',</w:t>
      </w:r>
      <w:r>
        <w:rPr>
          <w:rFonts w:ascii="Times New Roman" w:hAnsi="Times New Roman" w:eastAsia="Times New Roman" w:cs="Times New Roman"/>
          <w:sz w:val="18"/>
          <w:szCs w:val="18"/>
        </w:rPr>
        <w:t>LI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Peibo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²,</w:t>
      </w:r>
      <w:r>
        <w:rPr>
          <w:rFonts w:ascii="Times New Roman" w:hAnsi="Times New Roman" w:eastAsia="Times New Roman" w:cs="Times New Roman"/>
          <w:sz w:val="18"/>
          <w:szCs w:val="18"/>
        </w:rPr>
        <w:t>XIE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Keliang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',</w:t>
      </w:r>
      <w:r>
        <w:rPr>
          <w:rFonts w:ascii="Times New Roman" w:hAnsi="Times New Roman" w:eastAsia="Times New Roman" w:cs="Times New Roman"/>
          <w:sz w:val="18"/>
          <w:szCs w:val="18"/>
        </w:rPr>
        <w:t>LIU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ingling',YU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Yonghao'*</w:t>
      </w:r>
    </w:p>
    <w:p>
      <w:pPr>
        <w:spacing w:before="104" w:line="192" w:lineRule="auto"/>
        <w:ind w:left="70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Department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ofAnesthesiology,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Tianjin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Medical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University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General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Hospial,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Tianjin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00052,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China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;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Department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of</w:t>
      </w:r>
    </w:p>
    <w:p>
      <w:pPr>
        <w:spacing w:before="105" w:line="192" w:lineRule="auto"/>
        <w:ind w:left="34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Anesthesiology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Baotou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Central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Hos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pital</w:t>
      </w:r>
    </w:p>
    <w:p>
      <w:pPr>
        <w:spacing w:before="104" w:line="192" w:lineRule="auto"/>
        <w:ind w:left="287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“</w:t>
      </w:r>
      <w:r>
        <w:rPr>
          <w:rFonts w:ascii="Times New Roman" w:hAnsi="Times New Roman" w:eastAsia="Times New Roman" w:cs="Times New Roman"/>
          <w:sz w:val="18"/>
          <w:szCs w:val="18"/>
        </w:rPr>
        <w:t>Corresponding</w:t>
      </w:r>
      <w:r>
        <w:rPr>
          <w:rFonts w:ascii="Times New Roman" w:hAnsi="Times New Roman" w:eastAsia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Author</w:t>
      </w:r>
      <w:r>
        <w:rPr>
          <w:rFonts w:ascii="Times New Roman" w:hAnsi="Times New Roman" w:eastAsia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>mail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z w:val="18"/>
          <w:szCs w:val="18"/>
        </w:rPr>
        <w:t>yuyonghao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@126.</w:t>
      </w:r>
      <w:r>
        <w:rPr>
          <w:rFonts w:ascii="Times New Roman" w:hAnsi="Times New Roman" w:eastAsia="Times New Roman" w:cs="Times New Roman"/>
          <w:sz w:val="18"/>
          <w:szCs w:val="18"/>
        </w:rPr>
        <w:t>com</w:t>
      </w:r>
    </w:p>
    <w:p>
      <w:pPr>
        <w:spacing w:before="117" w:line="289" w:lineRule="auto"/>
        <w:ind w:left="299" w:right="396" w:firstLine="42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Abstract</w:t>
      </w: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Objective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investigate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effects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differ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ent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depth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anesthesia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sublingual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microcirculation.</w:t>
      </w:r>
      <w:r>
        <w:rPr>
          <w:rFonts w:ascii="Times New Roman" w:hAnsi="Times New Roman" w:eastAsia="Times New Roman" w:cs="Times New Roman"/>
          <w:spacing w:val="42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Meth-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ods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</w:rPr>
        <w:t>ASA</w:t>
      </w:r>
      <w:r>
        <w:rPr>
          <w:rFonts w:ascii="Times New Roman" w:hAnsi="Times New Roman" w:eastAsia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grade</w:t>
      </w:r>
      <w:r>
        <w:rPr>
          <w:rFonts w:ascii="Times New Roman" w:hAnsi="Times New Roman" w:eastAsia="Times New Roman" w:cs="Times New Roman"/>
          <w:spacing w:val="14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-Ⅱ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patients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(n=20)</w:t>
      </w: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ere</w:t>
      </w:r>
      <w:r>
        <w:rPr>
          <w:rFonts w:ascii="Times New Roman" w:hAnsi="Times New Roman" w:eastAsia="Times New Roman" w:cs="Times New Roman"/>
          <w:spacing w:val="19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scheduled</w:t>
      </w:r>
      <w:r>
        <w:rPr>
          <w:rFonts w:ascii="Times New Roman" w:hAnsi="Times New Roman" w:eastAsia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elective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thyroid</w:t>
      </w:r>
      <w:r>
        <w:rPr>
          <w:rFonts w:ascii="Times New Roman" w:hAnsi="Times New Roman" w:eastAsia="Times New Roman" w:cs="Times New Roman"/>
          <w:spacing w:val="18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surgery</w:t>
      </w:r>
      <w:r>
        <w:rPr>
          <w:rFonts w:ascii="Times New Roman" w:hAnsi="Times New Roman" w:eastAsia="Times New Roman" w:cs="Times New Roman"/>
          <w:spacing w:val="16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included</w:t>
      </w:r>
      <w:r>
        <w:rPr>
          <w:rFonts w:ascii="Times New Roman" w:hAnsi="Times New Roman" w:eastAsia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12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prospective</w:t>
      </w:r>
      <w:r>
        <w:rPr>
          <w:rFonts w:ascii="Times New Roman" w:hAnsi="Times New Roman" w:eastAsia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observa-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tional</w:t>
      </w:r>
      <w:r>
        <w:rPr>
          <w:rFonts w:ascii="Times New Roman" w:hAnsi="Times New Roman" w:eastAsia="Times New Roman" w:cs="Times New Roman"/>
          <w:spacing w:val="22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study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16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Midazolam</w:t>
      </w:r>
      <w:r>
        <w:rPr>
          <w:rFonts w:ascii="Times New Roman" w:hAnsi="Times New Roman" w:eastAsia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0.05</w:t>
      </w:r>
      <w:r>
        <w:rPr>
          <w:rFonts w:ascii="Times New Roman" w:hAnsi="Times New Roman" w:eastAsia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mg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kg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2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sufentanil</w:t>
      </w:r>
      <w:r>
        <w:rPr>
          <w:rFonts w:ascii="Times New Roman" w:hAnsi="Times New Roman" w:eastAsia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0.3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ug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kg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'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rocuronium</w:t>
      </w:r>
      <w:r>
        <w:rPr>
          <w:rFonts w:ascii="Times New Roman" w:hAnsi="Times New Roman" w:eastAsia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0.6</w:t>
      </w:r>
      <w:r>
        <w:rPr>
          <w:rFonts w:ascii="Times New Roman" w:hAnsi="Times New Roman" w:eastAsia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mg</w:t>
      </w:r>
      <w:r>
        <w:rPr>
          <w:rFonts w:ascii="Times New Roman" w:hAnsi="Times New Roman" w:eastAsia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kg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'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were</w:t>
      </w:r>
      <w:r>
        <w:rPr>
          <w:rFonts w:ascii="Times New Roman" w:hAnsi="Times New Roman" w:eastAsia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administrated</w:t>
      </w:r>
      <w:r>
        <w:rPr>
          <w:rFonts w:ascii="Times New Roman" w:hAnsi="Times New Roman" w:eastAsia="Times New Roman" w:cs="Times New Roman"/>
          <w:spacing w:val="1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intraveno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usly</w:t>
      </w:r>
      <w:r>
        <w:rPr>
          <w:rFonts w:ascii="Times New Roman" w:hAnsi="Times New Roman" w:eastAsia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induce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anesthesia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which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maintained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by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continuous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intravenous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infu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sion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propofol.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Target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medication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concentra-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tion</w:t>
      </w:r>
      <w:r>
        <w:rPr>
          <w:rFonts w:ascii="Times New Roman" w:hAnsi="Times New Roman" w:eastAsia="Times New Roman" w:cs="Times New Roman"/>
          <w:spacing w:val="1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increased</w:t>
      </w:r>
      <w:r>
        <w:rPr>
          <w:rFonts w:ascii="Times New Roman" w:hAnsi="Times New Roman" w:eastAsia="Times New Roman" w:cs="Times New Roman"/>
          <w:spacing w:val="1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0.5</w:t>
      </w:r>
      <w:r>
        <w:rPr>
          <w:rFonts w:ascii="Times New Roman" w:hAnsi="Times New Roman" w:eastAsia="Times New Roman" w:cs="Times New Roman"/>
          <w:spacing w:val="1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mg</w:t>
      </w:r>
      <w:r>
        <w:rPr>
          <w:rFonts w:ascii="Times New Roman" w:hAnsi="Times New Roman" w:eastAsia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·L',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regulated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based</w:t>
      </w:r>
      <w:r>
        <w:rPr>
          <w:rFonts w:ascii="Times New Roman" w:hAnsi="Times New Roman" w:eastAsia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1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BIS.The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patients</w:t>
      </w:r>
      <w:r>
        <w:rPr>
          <w:rFonts w:ascii="Times New Roman" w:hAnsi="Times New Roman" w:eastAsia="Times New Roman" w:cs="Times New Roman"/>
          <w:spacing w:val="12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underwent</w:t>
      </w:r>
      <w:r>
        <w:rPr>
          <w:rFonts w:ascii="Times New Roman" w:hAnsi="Times New Roman" w:eastAsia="Times New Roman" w:cs="Times New Roman"/>
          <w:spacing w:val="18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endotracheal</w:t>
      </w:r>
      <w:r>
        <w:rPr>
          <w:rFonts w:ascii="Times New Roman" w:hAnsi="Times New Roman" w:eastAsia="Times New Roman" w:cs="Times New Roman"/>
          <w:spacing w:val="1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intubation</w:t>
      </w:r>
      <w:r>
        <w:rPr>
          <w:rFonts w:ascii="Times New Roman" w:hAnsi="Times New Roman" w:eastAsia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mechanical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ventila-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Sublingual</w:t>
      </w:r>
      <w:r>
        <w:rPr>
          <w:rFonts w:ascii="Times New Roman" w:hAnsi="Times New Roman" w:eastAsia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microcirculations</w:t>
      </w:r>
      <w:r>
        <w:rPr>
          <w:rFonts w:ascii="Times New Roman" w:hAnsi="Times New Roman" w:eastAsia="Times New Roman" w:cs="Times New Roman"/>
          <w:spacing w:val="38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re</w:t>
      </w:r>
      <w:r>
        <w:rPr>
          <w:rFonts w:ascii="Times New Roman" w:hAnsi="Times New Roman" w:eastAsia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evaluated</w:t>
      </w:r>
      <w:r>
        <w:rPr>
          <w:rFonts w:ascii="Times New Roman" w:hAnsi="Times New Roman" w:eastAsia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by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sidestream</w:t>
      </w:r>
      <w:r>
        <w:rPr>
          <w:rFonts w:ascii="Times New Roman" w:hAnsi="Times New Roman" w:eastAsia="Times New Roman" w:cs="Times New Roman"/>
          <w:spacing w:val="4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dark</w:t>
      </w:r>
      <w:r>
        <w:rPr>
          <w:rFonts w:ascii="Times New Roman" w:hAnsi="Times New Roman" w:eastAsia="Times New Roman" w:cs="Times New Roman"/>
          <w:spacing w:val="4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field</w:t>
      </w:r>
      <w:r>
        <w:rPr>
          <w:rFonts w:ascii="Times New Roman" w:hAnsi="Times New Roman" w:eastAsia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(SDF)imaging</w:t>
      </w:r>
      <w:r>
        <w:rPr>
          <w:rFonts w:ascii="Times New Roman" w:hAnsi="Times New Roman" w:eastAsia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at</w:t>
      </w:r>
      <w:r>
        <w:rPr>
          <w:rFonts w:ascii="Times New Roman" w:hAnsi="Times New Roman" w:eastAsia="Times New Roman" w:cs="Times New Roman"/>
          <w:spacing w:val="42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T1(BIS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baseline),T2(50&lt;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BIS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≤60),T3(40&lt;</w:t>
      </w:r>
      <w:r>
        <w:rPr>
          <w:rFonts w:ascii="Times New Roman" w:hAnsi="Times New Roman" w:eastAsia="Times New Roman" w:cs="Times New Roman"/>
          <w:sz w:val="18"/>
          <w:szCs w:val="18"/>
        </w:rPr>
        <w:t>BIS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≤50)</w:t>
      </w:r>
      <w:r>
        <w:rPr>
          <w:rFonts w:ascii="Times New Roman" w:hAnsi="Times New Roman" w:eastAsia="Times New Roman" w:cs="Times New Roman"/>
          <w:sz w:val="18"/>
          <w:szCs w:val="18"/>
        </w:rPr>
        <w:t>andT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4(30&lt;</w:t>
      </w:r>
      <w:r>
        <w:rPr>
          <w:rFonts w:ascii="Times New Roman" w:hAnsi="Times New Roman" w:eastAsia="Times New Roman" w:cs="Times New Roman"/>
          <w:sz w:val="18"/>
          <w:szCs w:val="18"/>
        </w:rPr>
        <w:t>BIS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≤40)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respectively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</w:rPr>
        <w:t>Vascular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</w:rPr>
        <w:t>diameter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</w:rPr>
        <w:t>equal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</w:rPr>
        <w:t>or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</w:rPr>
        <w:t>less   tha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20μm)</w:t>
      </w:r>
      <w:r>
        <w:rPr>
          <w:rFonts w:ascii="Times New Roman" w:hAnsi="Times New Roman" w:eastAsia="Times New Roman" w:cs="Times New Roman"/>
          <w:spacing w:val="22"/>
          <w:w w:val="101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perfu-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sion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vessel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density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z w:val="18"/>
          <w:szCs w:val="18"/>
        </w:rPr>
        <w:t>PVD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),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total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vessel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density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z w:val="18"/>
          <w:szCs w:val="18"/>
        </w:rPr>
        <w:t>TVD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),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oportion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perfused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vessels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(PPV)and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microvascular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flow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index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z w:val="18"/>
          <w:szCs w:val="18"/>
        </w:rPr>
        <w:t>MFI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were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recorded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</w:rPr>
        <w:t>Mean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arterial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pressure(MAP),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heart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rate,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body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temperature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blood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gas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analysis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were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also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compared</w:t>
      </w:r>
    </w:p>
    <w:p>
      <w:pPr>
        <w:spacing w:before="94" w:line="192" w:lineRule="auto"/>
        <w:ind w:left="2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at</w:t>
      </w:r>
      <w:r>
        <w:rPr>
          <w:rFonts w:ascii="Times New Roman" w:hAnsi="Times New Roman" w:eastAsia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these</w:t>
      </w:r>
      <w:r>
        <w:rPr>
          <w:rFonts w:ascii="Times New Roman" w:hAnsi="Times New Roman" w:eastAsia="Times New Roman" w:cs="Times New Roman"/>
          <w:spacing w:val="2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four</w:t>
      </w:r>
      <w:r>
        <w:rPr>
          <w:rFonts w:ascii="Times New Roman" w:hAnsi="Times New Roman" w:eastAsia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points</w:t>
      </w:r>
      <w:r>
        <w:rPr>
          <w:rFonts w:ascii="Times New Roman" w:hAnsi="Times New Roman" w:eastAsia="Times New Roman" w:cs="Times New Roman"/>
          <w:spacing w:val="30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sim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ultaneously.</w:t>
      </w:r>
      <w:r>
        <w:rPr>
          <w:rFonts w:ascii="Times New Roman" w:hAnsi="Times New Roman" w:eastAsia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Results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Compared</w:t>
      </w:r>
      <w:r>
        <w:rPr>
          <w:rFonts w:ascii="Times New Roman" w:hAnsi="Times New Roman" w:eastAsia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42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T1,PVD,</w:t>
      </w:r>
      <w:r>
        <w:rPr>
          <w:rFonts w:ascii="Times New Roman" w:hAnsi="Times New Roman" w:eastAsia="Times New Roman" w:cs="Times New Roman"/>
          <w:spacing w:val="42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TVD</w:t>
      </w:r>
      <w:r>
        <w:rPr>
          <w:rFonts w:ascii="Times New Roman" w:hAnsi="Times New Roman" w:eastAsia="Times New Roman" w:cs="Times New Roman"/>
          <w:spacing w:val="43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PPV</w:t>
      </w:r>
      <w:r>
        <w:rPr>
          <w:rFonts w:ascii="Times New Roman" w:hAnsi="Times New Roman" w:eastAsia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decreased(P&lt;0.01)at</w:t>
      </w:r>
      <w:r>
        <w:rPr>
          <w:rFonts w:ascii="Times New Roman" w:hAnsi="Times New Roman" w:eastAsia="Times New Roman" w:cs="Times New Roman"/>
          <w:spacing w:val="42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T2;</w:t>
      </w:r>
      <w:r>
        <w:rPr>
          <w:rFonts w:ascii="Times New Roman" w:hAnsi="Times New Roman" w:eastAsia="Times New Roman" w:cs="Times New Roman"/>
          <w:spacing w:val="40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PVD,</w:t>
      </w:r>
    </w:p>
    <w:p>
      <w:pPr>
        <w:spacing w:before="95" w:line="192" w:lineRule="auto"/>
        <w:ind w:left="2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TVD,PPV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MFI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decreased(P&lt;0.05)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T3;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PVD,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TVD,PPV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MFI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decreased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significantly(P&lt;0.01)at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T4;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PVD,</w:t>
      </w:r>
    </w:p>
    <w:p>
      <w:pPr>
        <w:spacing w:before="94" w:line="192" w:lineRule="auto"/>
        <w:ind w:left="2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TVD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PPV</w:t>
      </w:r>
      <w:r>
        <w:rPr>
          <w:rFonts w:ascii="Times New Roman" w:hAnsi="Times New Roman" w:eastAsia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MFI</w:t>
      </w:r>
      <w:r>
        <w:rPr>
          <w:rFonts w:ascii="Times New Roman" w:hAnsi="Times New Roman" w:eastAsia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presented</w:t>
      </w:r>
      <w:r>
        <w:rPr>
          <w:rFonts w:ascii="Times New Roman" w:hAnsi="Times New Roman" w:eastAsia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no</w:t>
      </w:r>
      <w:r>
        <w:rPr>
          <w:rFonts w:ascii="Times New Roman" w:hAnsi="Times New Roman" w:eastAsia="Times New Roman" w:cs="Times New Roman"/>
          <w:spacing w:val="2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difference</w:t>
      </w:r>
      <w:r>
        <w:rPr>
          <w:rFonts w:ascii="Times New Roman" w:hAnsi="Times New Roman" w:eastAsia="Times New Roman" w:cs="Times New Roman"/>
          <w:spacing w:val="21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between</w:t>
      </w:r>
      <w:r>
        <w:rPr>
          <w:rFonts w:ascii="Times New Roman" w:hAnsi="Times New Roman" w:eastAsia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(P&gt;0.05).</w:t>
      </w:r>
      <w:r>
        <w:rPr>
          <w:rFonts w:ascii="Times New Roman" w:hAnsi="Times New Roman" w:eastAsia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Conclusion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When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BIS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value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sit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between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40</w:t>
      </w:r>
    </w:p>
    <w:p>
      <w:pPr>
        <w:spacing w:before="95" w:line="192" w:lineRule="auto"/>
        <w:ind w:left="2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50,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can best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inhibit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stress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response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attenuate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agitation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microcirculation.</w:t>
      </w:r>
    </w:p>
    <w:p>
      <w:pPr>
        <w:spacing w:before="184" w:line="192" w:lineRule="auto"/>
        <w:ind w:left="7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Key</w:t>
      </w:r>
      <w:r>
        <w:rPr>
          <w:rFonts w:ascii="Times New Roman" w:hAnsi="Times New Roman" w:eastAsia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words:</w:t>
      </w:r>
      <w:r>
        <w:rPr>
          <w:rFonts w:ascii="Times New Roman" w:hAnsi="Times New Roman" w:eastAsia="Times New Roman" w:cs="Times New Roman"/>
          <w:spacing w:val="29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microcirculation;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tongue;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stress;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depth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anesthesia;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bispectral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index(BIS)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;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sidestream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dark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field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technique</w:t>
      </w:r>
    </w:p>
    <w:p/>
    <w:p>
      <w:pPr>
        <w:spacing w:line="195" w:lineRule="exact"/>
      </w:pPr>
    </w:p>
    <w:p>
      <w:pPr>
        <w:sectPr>
          <w:pgSz w:w="11060" w:h="14960"/>
          <w:pgMar w:top="521" w:right="849" w:bottom="0" w:left="550" w:header="0" w:footer="0" w:gutter="0"/>
          <w:cols w:equalWidth="0" w:num="1">
            <w:col w:w="9661"/>
          </w:cols>
        </w:sectPr>
      </w:pPr>
    </w:p>
    <w:p>
      <w:pPr>
        <w:spacing w:before="41" w:line="244" w:lineRule="auto"/>
        <w:ind w:right="232" w:firstLine="45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麻醉过程中微循环规律活动的改变将直接影响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组织器官的灌注，使其功能下降，影响患者的术后恢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复。研究显示，麻醉深度可影响微循环，使毛细血管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输送氧的能力降低。对于舌下微循环能否反映全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37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身脏器微循环改变仍存在争议21。但有研究表明，当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腹腔压力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&lt;10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mmHg(1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mmHg=0.133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kPa)</w:t>
      </w:r>
      <w:r>
        <w:rPr>
          <w:rFonts w:ascii="宋体" w:hAnsi="宋体" w:eastAsia="宋体" w:cs="宋体"/>
          <w:spacing w:val="-2"/>
          <w:sz w:val="21"/>
          <w:szCs w:val="21"/>
        </w:rPr>
        <w:t>时，</w:t>
      </w:r>
      <w:r>
        <w:rPr>
          <w:rFonts w:ascii="宋体" w:hAnsi="宋体" w:eastAsia="宋体" w:cs="宋体"/>
          <w:spacing w:val="-3"/>
          <w:sz w:val="21"/>
          <w:szCs w:val="21"/>
        </w:rPr>
        <w:t>舌下黏</w:t>
      </w:r>
      <w:r>
        <w:rPr>
          <w:rFonts w:ascii="宋体" w:hAnsi="宋体" w:eastAsia="宋体" w:cs="宋体"/>
          <w:sz w:val="21"/>
          <w:szCs w:val="21"/>
        </w:rPr>
        <w:t xml:space="preserve"> 膜和胃肠道微循环改变是一致的。因此，监测舌下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微循环改变，可以间接反映脏器微循环的变化。目</w:t>
      </w:r>
    </w:p>
    <w:p>
      <w:pPr>
        <w:sectPr>
          <w:type w:val="continuous"/>
          <w:pgSz w:w="11060" w:h="14960"/>
          <w:pgMar w:top="521" w:right="849" w:bottom="0" w:left="550" w:header="0" w:footer="0" w:gutter="0"/>
          <w:cols w:equalWidth="0" w:num="2">
            <w:col w:w="4901" w:space="100"/>
            <w:col w:w="4661"/>
          </w:cols>
        </w:sectPr>
      </w:pPr>
    </w:p>
    <w:p>
      <w:pPr>
        <w:spacing w:before="238" w:line="219" w:lineRule="auto"/>
        <w:ind w:left="2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9"/>
          <w:sz w:val="18"/>
          <w:szCs w:val="18"/>
        </w:rPr>
        <w:t>作者单位：1天津医科大学总医院麻醉科(邮编300052)</w:t>
      </w:r>
      <w:r>
        <w:rPr>
          <w:rFonts w:ascii="宋体" w:hAnsi="宋体" w:eastAsia="宋体" w:cs="宋体"/>
          <w:spacing w:val="-20"/>
          <w:sz w:val="18"/>
          <w:szCs w:val="18"/>
        </w:rPr>
        <w:t>;2包头，包头市中心医院麻醉科</w:t>
      </w:r>
    </w:p>
    <w:p>
      <w:pPr>
        <w:spacing w:before="25" w:line="228" w:lineRule="auto"/>
        <w:ind w:left="2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6"/>
          <w:sz w:val="18"/>
          <w:szCs w:val="18"/>
        </w:rPr>
        <w:t>作者简介：刘志慧(1982),女，主治医师，博</w:t>
      </w:r>
      <w:r>
        <w:rPr>
          <w:rFonts w:ascii="宋体" w:hAnsi="宋体" w:eastAsia="宋体" w:cs="宋体"/>
          <w:spacing w:val="-19"/>
          <w:w w:val="96"/>
          <w:sz w:val="18"/>
          <w:szCs w:val="18"/>
        </w:rPr>
        <w:t>士在读，主要从事微循环与麻醉研究</w:t>
      </w:r>
    </w:p>
    <w:p>
      <w:pPr>
        <w:spacing w:line="198" w:lineRule="auto"/>
        <w:ind w:left="2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“</w:t>
      </w:r>
      <w:r>
        <w:rPr>
          <w:rFonts w:ascii="宋体" w:hAnsi="宋体" w:eastAsia="宋体" w:cs="宋体"/>
          <w:spacing w:val="-4"/>
          <w:sz w:val="18"/>
          <w:szCs w:val="18"/>
        </w:rPr>
        <w:t>通讯作者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E-mail:yuyonghao@126.com</w:t>
      </w:r>
    </w:p>
    <w:p>
      <w:pPr>
        <w:sectPr>
          <w:type w:val="continuous"/>
          <w:pgSz w:w="11060" w:h="14960"/>
          <w:pgMar w:top="521" w:right="849" w:bottom="0" w:left="550" w:header="0" w:footer="0" w:gutter="0"/>
          <w:cols w:equalWidth="0" w:num="1">
            <w:col w:w="9661"/>
          </w:cols>
        </w:sectPr>
      </w:pPr>
    </w:p>
    <w:p>
      <w:pPr>
        <w:spacing w:before="31" w:line="184" w:lineRule="auto"/>
        <w:ind w:left="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6"/>
          <w:sz w:val="17"/>
          <w:szCs w:val="17"/>
        </w:rPr>
        <w:t>1448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5" w:line="262" w:lineRule="auto"/>
        <w:ind w:left="29" w:right="19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前，临床有关围术期监测舌下微循环的报道较少。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9"/>
          <w:sz w:val="20"/>
          <w:szCs w:val="20"/>
        </w:rPr>
        <w:t>本研究旨在用旁流暗视野</w:t>
      </w:r>
      <w:r>
        <w:rPr>
          <w:rFonts w:ascii="Times New Roman" w:hAnsi="Times New Roman" w:eastAsia="Times New Roman" w:cs="Times New Roman"/>
          <w:spacing w:val="3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sidestream</w:t>
      </w:r>
      <w:r>
        <w:rPr>
          <w:rFonts w:ascii="Times New Roman" w:hAnsi="Times New Roman" w:eastAsia="Times New Roman" w:cs="Times New Roman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dark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field</w:t>
      </w:r>
      <w:r>
        <w:rPr>
          <w:rFonts w:ascii="Times New Roman" w:hAnsi="Times New Roman" w:eastAsia="Times New Roman" w:cs="Times New Roman"/>
          <w:spacing w:val="39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宋体" w:hAnsi="宋体" w:eastAsia="宋体" w:cs="宋体"/>
          <w:sz w:val="20"/>
          <w:szCs w:val="20"/>
        </w:rPr>
        <w:t>SDF</w:t>
      </w:r>
      <w:r>
        <w:rPr>
          <w:rFonts w:ascii="宋体" w:hAnsi="宋体" w:eastAsia="宋体" w:cs="宋体"/>
          <w:spacing w:val="22"/>
          <w:sz w:val="20"/>
          <w:szCs w:val="20"/>
        </w:rPr>
        <w:t>)成像技术观察在不同麻醉深度下舌下微循环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的变化，以期为临床提供参考。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221" w:lineRule="auto"/>
        <w:ind w:left="3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z w:val="20"/>
          <w:szCs w:val="20"/>
        </w:rPr>
        <w:t>1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z w:val="20"/>
          <w:szCs w:val="20"/>
        </w:rPr>
        <w:t>对象与方法</w:t>
      </w:r>
    </w:p>
    <w:p>
      <w:pPr>
        <w:spacing w:before="48" w:line="237" w:lineRule="auto"/>
        <w:ind w:left="29" w:right="189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8"/>
          <w:sz w:val="20"/>
          <w:szCs w:val="20"/>
        </w:rPr>
        <w:t>1.1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8"/>
          <w:sz w:val="20"/>
          <w:szCs w:val="20"/>
        </w:rPr>
        <w:t>研究对象</w:t>
      </w:r>
      <w:r>
        <w:rPr>
          <w:rFonts w:ascii="宋体" w:hAnsi="宋体" w:eastAsia="宋体" w:cs="宋体"/>
          <w:spacing w:val="5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选取2013年10月—12月于天津医</w:t>
      </w:r>
      <w:r>
        <w:rPr>
          <w:rFonts w:ascii="宋体" w:hAnsi="宋体" w:eastAsia="宋体" w:cs="宋体"/>
          <w:spacing w:val="-9"/>
          <w:sz w:val="20"/>
          <w:szCs w:val="20"/>
        </w:rPr>
        <w:t>科大学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5"/>
          <w:sz w:val="20"/>
          <w:szCs w:val="20"/>
        </w:rPr>
        <w:t>总医院择期行甲状腺手术的20例患者资料。入选标准：年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"/>
          <w:sz w:val="20"/>
          <w:szCs w:val="20"/>
        </w:rPr>
        <w:t>龄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18~50</w:t>
      </w:r>
      <w:r>
        <w:rPr>
          <w:rFonts w:ascii="宋体" w:hAnsi="宋体" w:eastAsia="宋体" w:cs="宋体"/>
          <w:spacing w:val="-1"/>
          <w:sz w:val="20"/>
          <w:szCs w:val="20"/>
        </w:rPr>
        <w:t>岁，体质指数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(BMI)19~25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kg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·m²,ASA</w:t>
      </w:r>
      <w:r>
        <w:rPr>
          <w:rFonts w:ascii="宋体" w:hAnsi="宋体" w:eastAsia="宋体" w:cs="宋体"/>
          <w:spacing w:val="-1"/>
          <w:sz w:val="20"/>
          <w:szCs w:val="20"/>
        </w:rPr>
        <w:t>分级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I~Ⅱ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-16"/>
          <w:sz w:val="20"/>
          <w:szCs w:val="20"/>
        </w:rPr>
        <w:t>级。排除标准：(1)无法配合SDF监测者。(2)口腔毁损或出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2"/>
          <w:w w:val="97"/>
          <w:sz w:val="20"/>
          <w:szCs w:val="20"/>
        </w:rPr>
        <w:t>血、张口极度困难者。(3)术前有糖尿病、高血压、血管疾病、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肝硬化及慢性肾衰竭者。(4)未签署知情同意书。</w:t>
      </w:r>
      <w:r>
        <w:rPr>
          <w:rFonts w:ascii="宋体" w:hAnsi="宋体" w:eastAsia="宋体" w:cs="宋体"/>
          <w:spacing w:val="-18"/>
          <w:sz w:val="20"/>
          <w:szCs w:val="20"/>
        </w:rPr>
        <w:t>本研究符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w w:val="99"/>
          <w:sz w:val="20"/>
          <w:szCs w:val="20"/>
        </w:rPr>
        <w:t>合医学伦理学标准，得到医院伦理委员会批准，所有治疗获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得了患者及家属的知情同意。</w:t>
      </w:r>
    </w:p>
    <w:p>
      <w:pPr>
        <w:spacing w:before="83" w:line="221" w:lineRule="auto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9"/>
          <w:sz w:val="20"/>
          <w:szCs w:val="20"/>
        </w:rPr>
        <w:t>1.2</w:t>
      </w:r>
      <w:r>
        <w:rPr>
          <w:rFonts w:ascii="宋体" w:hAnsi="宋体" w:eastAsia="宋体" w:cs="宋体"/>
          <w:spacing w:val="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9"/>
          <w:sz w:val="20"/>
          <w:szCs w:val="20"/>
        </w:rPr>
        <w:t>方法</w:t>
      </w:r>
    </w:p>
    <w:p>
      <w:pPr>
        <w:spacing w:before="31" w:line="237" w:lineRule="auto"/>
        <w:ind w:left="29" w:right="223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20"/>
          <w:sz w:val="20"/>
          <w:szCs w:val="20"/>
        </w:rPr>
        <w:t>1.2.1</w:t>
      </w:r>
      <w:r>
        <w:rPr>
          <w:rFonts w:ascii="宋体" w:hAnsi="宋体" w:eastAsia="宋体" w:cs="宋体"/>
          <w:spacing w:val="2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20"/>
          <w:sz w:val="20"/>
          <w:szCs w:val="20"/>
        </w:rPr>
        <w:t>麻醉前准备</w:t>
      </w:r>
      <w:r>
        <w:rPr>
          <w:rFonts w:ascii="宋体" w:hAnsi="宋体" w:eastAsia="宋体" w:cs="宋体"/>
          <w:spacing w:val="6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患者入室后，开放外周静</w:t>
      </w:r>
      <w:r>
        <w:rPr>
          <w:rFonts w:ascii="宋体" w:hAnsi="宋体" w:eastAsia="宋体" w:cs="宋体"/>
          <w:spacing w:val="-21"/>
          <w:sz w:val="20"/>
          <w:szCs w:val="20"/>
        </w:rPr>
        <w:t>脉通路，按4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mL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·kg¹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·h'的速率静脉滴注平衡液，多功能监测仪(Agilent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1"/>
          <w:w w:val="99"/>
          <w:sz w:val="20"/>
          <w:szCs w:val="20"/>
        </w:rPr>
        <w:t>Anesthesia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1"/>
          <w:w w:val="99"/>
          <w:sz w:val="20"/>
          <w:szCs w:val="20"/>
        </w:rPr>
        <w:t>CMS,美国)常规监测心电图、心率、脉搏氧饱和度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w w:val="99"/>
          <w:sz w:val="20"/>
          <w:szCs w:val="20"/>
        </w:rPr>
        <w:t>及有创动脉压，持续监测鼻咽温度。使用医用升温毯、调节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室温和加温输液以维持患者体温。清洁前额皮肤，放</w:t>
      </w:r>
      <w:r>
        <w:rPr>
          <w:rFonts w:ascii="宋体" w:hAnsi="宋体" w:eastAsia="宋体" w:cs="宋体"/>
          <w:spacing w:val="-18"/>
          <w:sz w:val="20"/>
          <w:szCs w:val="20"/>
        </w:rPr>
        <w:t>置</w:t>
      </w:r>
      <w:r>
        <w:rPr>
          <w:rFonts w:ascii="宋体" w:hAnsi="宋体" w:eastAsia="宋体" w:cs="宋体"/>
          <w:spacing w:val="-17"/>
          <w:sz w:val="20"/>
          <w:szCs w:val="20"/>
        </w:rPr>
        <w:t>BIS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专用电极片并连接BIS麻醉深度监测仪(VISTA,Aspect公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9"/>
          <w:sz w:val="20"/>
          <w:szCs w:val="20"/>
        </w:rPr>
        <w:t>司，美国)。</w:t>
      </w:r>
    </w:p>
    <w:p>
      <w:pPr>
        <w:spacing w:before="75" w:line="239" w:lineRule="auto"/>
        <w:ind w:left="29" w:right="233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20"/>
          <w:sz w:val="20"/>
          <w:szCs w:val="20"/>
        </w:rPr>
        <w:t>1.2.2</w:t>
      </w:r>
      <w:r>
        <w:rPr>
          <w:rFonts w:ascii="宋体" w:hAnsi="宋体" w:eastAsia="宋体" w:cs="宋体"/>
          <w:spacing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麻醉方法</w:t>
      </w:r>
      <w:r>
        <w:rPr>
          <w:rFonts w:ascii="宋体" w:hAnsi="宋体" w:eastAsia="宋体" w:cs="宋体"/>
          <w:spacing w:val="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静脉注射咪达唑仑(力月西，江苏恩华药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w w:val="99"/>
          <w:sz w:val="20"/>
          <w:szCs w:val="20"/>
        </w:rPr>
        <w:t>业股份有限公司)0.05</w:t>
      </w:r>
      <w:r>
        <w:rPr>
          <w:rFonts w:ascii="宋体" w:hAnsi="宋体" w:eastAsia="宋体" w:cs="宋体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w w:val="99"/>
          <w:sz w:val="20"/>
          <w:szCs w:val="20"/>
        </w:rPr>
        <w:t>mg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w w:val="99"/>
          <w:sz w:val="20"/>
          <w:szCs w:val="20"/>
        </w:rPr>
        <w:t>·kg'、舒芬太尼(舒芬尼，宜昌人福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5"/>
          <w:w w:val="97"/>
          <w:sz w:val="20"/>
          <w:szCs w:val="20"/>
        </w:rPr>
        <w:t>药业有限责任公司)0.3μg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5"/>
          <w:w w:val="97"/>
          <w:sz w:val="20"/>
          <w:szCs w:val="20"/>
        </w:rPr>
        <w:t>·kg'、罗库溴铵(爱可松，</w:t>
      </w:r>
      <w:r>
        <w:rPr>
          <w:rFonts w:ascii="宋体" w:hAnsi="宋体" w:eastAsia="宋体" w:cs="宋体"/>
          <w:spacing w:val="-26"/>
          <w:w w:val="97"/>
          <w:sz w:val="20"/>
          <w:szCs w:val="20"/>
        </w:rPr>
        <w:t>先灵葆雅)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0.6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mg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·kg',持续静脉靶控输注丙泊酚(得普利麻，阿斯利康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公司)3.0</w:t>
      </w:r>
      <w:r>
        <w:rPr>
          <w:rFonts w:ascii="宋体" w:hAnsi="宋体" w:eastAsia="宋体" w:cs="宋体"/>
          <w:spacing w:val="-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mg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·L'进行麻醉诱导，气管</w:t>
      </w:r>
      <w:r>
        <w:rPr>
          <w:rFonts w:ascii="宋体" w:hAnsi="宋体" w:eastAsia="宋体" w:cs="宋体"/>
          <w:spacing w:val="-24"/>
          <w:sz w:val="20"/>
          <w:szCs w:val="20"/>
        </w:rPr>
        <w:t>插管后行机械通气，设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置Vr8~10mL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·kg',通气频率8~12次/min,吸呼比为1:2</w:t>
      </w:r>
      <w:r>
        <w:rPr>
          <w:rFonts w:ascii="宋体" w:hAnsi="宋体" w:eastAsia="宋体" w:cs="宋体"/>
          <w:spacing w:val="-10"/>
          <w:sz w:val="20"/>
          <w:szCs w:val="20"/>
        </w:rPr>
        <w:t>,氧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流量2L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·min',控制呼气末二氧化碳分压[p(CO2)]30~40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mmHg(1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mmHg=0.133kPa)。静脉靶控输注丙泊酚维持麻醉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深度，目标靶浓度每隔4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min增加0.5</w:t>
      </w:r>
      <w:r>
        <w:rPr>
          <w:rFonts w:ascii="宋体" w:hAnsi="宋体" w:eastAsia="宋体" w:cs="宋体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mg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·L'进行BIS值调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节，使BIS值维持在目标值范围内：T1为患者入手术室后清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醒状态下的BIS值；T2为调节BIS值稳定于≤50~60;T3</w:t>
      </w:r>
      <w:r>
        <w:rPr>
          <w:rFonts w:ascii="宋体" w:hAnsi="宋体" w:eastAsia="宋体" w:cs="宋体"/>
          <w:spacing w:val="-6"/>
          <w:sz w:val="20"/>
          <w:szCs w:val="20"/>
        </w:rPr>
        <w:t>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调节BIS值稳定于≤40~50;T4为调节BIS值稳定于≤30~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40。4个时点各维持目标BIS值4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min,并且血浆靶浓度与效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5"/>
          <w:sz w:val="20"/>
          <w:szCs w:val="20"/>
        </w:rPr>
        <w:t>应室浓度相等后认为达到稳态，此后丙泊酚靶浓度不再变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化，分别在4个时点BIS值稳定后行舌下微循环监测及血气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4" w:line="192" w:lineRule="auto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2"/>
          <w:sz w:val="17"/>
          <w:szCs w:val="17"/>
          <w:u w:val="single" w:color="auto"/>
        </w:rPr>
        <w:t>Tianjin</w:t>
      </w:r>
      <w:r>
        <w:rPr>
          <w:rFonts w:ascii="Times New Roman" w:hAnsi="Times New Roman" w:eastAsia="Times New Roman" w:cs="Times New Roman"/>
          <w:spacing w:val="1"/>
          <w:sz w:val="17"/>
          <w:szCs w:val="1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  <w:u w:val="single" w:color="auto"/>
        </w:rPr>
        <w:t>Med</w:t>
      </w:r>
      <w:r>
        <w:rPr>
          <w:rFonts w:ascii="Times New Roman" w:hAnsi="Times New Roman" w:eastAsia="Times New Roman" w:cs="Times New Roman"/>
          <w:spacing w:val="2"/>
          <w:sz w:val="17"/>
          <w:szCs w:val="1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  <w:u w:val="single" w:color="auto"/>
        </w:rPr>
        <w:t>J</w:t>
      </w:r>
      <w:r>
        <w:rPr>
          <w:rFonts w:ascii="Times New Roman" w:hAnsi="Times New Roman" w:eastAsia="Times New Roman" w:cs="Times New Roman"/>
          <w:spacing w:val="-3"/>
          <w:sz w:val="17"/>
          <w:szCs w:val="17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  <w:u w:val="single" w:color="auto"/>
        </w:rPr>
        <w:t>December</w:t>
      </w:r>
      <w:r>
        <w:rPr>
          <w:rFonts w:ascii="Times New Roman" w:hAnsi="Times New Roman" w:eastAsia="Times New Roman" w:cs="Times New Roman"/>
          <w:spacing w:val="2"/>
          <w:sz w:val="17"/>
          <w:szCs w:val="1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  <w:u w:val="single" w:color="auto"/>
        </w:rPr>
        <w:t>2015,</w:t>
      </w:r>
      <w:r>
        <w:rPr>
          <w:rFonts w:ascii="Times New Roman" w:hAnsi="Times New Roman" w:eastAsia="Times New Roman" w:cs="Times New Roman"/>
          <w:spacing w:val="-2"/>
          <w:sz w:val="17"/>
          <w:szCs w:val="17"/>
          <w:u w:val="single" w:color="auto"/>
        </w:rPr>
        <w:t>Vol</w:t>
      </w:r>
      <w:r>
        <w:rPr>
          <w:rFonts w:ascii="Times New Roman" w:hAnsi="Times New Roman" w:eastAsia="Times New Roman" w:cs="Times New Roman"/>
          <w:spacing w:val="-3"/>
          <w:sz w:val="17"/>
          <w:szCs w:val="17"/>
          <w:u w:val="single" w:color="auto"/>
        </w:rPr>
        <w:t>.43 No.12</w:t>
      </w:r>
    </w:p>
    <w:p>
      <w:pPr>
        <w:spacing w:before="247" w:line="230" w:lineRule="auto"/>
        <w:ind w:right="78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5"/>
          <w:sz w:val="20"/>
          <w:szCs w:val="20"/>
        </w:rPr>
        <w:t>分析。4个时点监测完毕，手术开始，试验结束。试验期间出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现心率(HR)&lt;50次/min,静脉注射阿托</w:t>
      </w:r>
      <w:r>
        <w:rPr>
          <w:rFonts w:ascii="宋体" w:hAnsi="宋体" w:eastAsia="宋体" w:cs="宋体"/>
          <w:spacing w:val="-8"/>
          <w:sz w:val="20"/>
          <w:szCs w:val="20"/>
        </w:rPr>
        <w:t>品0.5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mg</w:t>
      </w:r>
      <w:r>
        <w:rPr>
          <w:rFonts w:ascii="宋体" w:hAnsi="宋体" w:eastAsia="宋体" w:cs="宋体"/>
          <w:spacing w:val="-8"/>
          <w:sz w:val="20"/>
          <w:szCs w:val="20"/>
        </w:rPr>
        <w:t>,平均动脉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压</w:t>
      </w:r>
      <w:r>
        <w:rPr>
          <w:rFonts w:ascii="Times New Roman" w:hAnsi="Times New Roman" w:eastAsia="Times New Roman" w:cs="Times New Roman"/>
          <w:spacing w:val="-11"/>
          <w:sz w:val="20"/>
          <w:szCs w:val="20"/>
        </w:rPr>
        <w:t>(MAP)&lt;50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0"/>
          <w:szCs w:val="20"/>
        </w:rPr>
        <w:t>mmHg,</w:t>
      </w:r>
      <w:r>
        <w:rPr>
          <w:rFonts w:ascii="宋体" w:hAnsi="宋体" w:eastAsia="宋体" w:cs="宋体"/>
          <w:spacing w:val="-11"/>
          <w:sz w:val="20"/>
          <w:szCs w:val="20"/>
        </w:rPr>
        <w:t>静脉注射</w:t>
      </w:r>
      <w:r>
        <w:rPr>
          <w:rFonts w:ascii="宋体" w:hAnsi="宋体" w:eastAsia="宋体" w:cs="宋体"/>
          <w:spacing w:val="-12"/>
          <w:sz w:val="20"/>
          <w:szCs w:val="20"/>
        </w:rPr>
        <w:t>麻黄碱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0"/>
          <w:szCs w:val="20"/>
        </w:rPr>
        <w:t>mg</w:t>
      </w:r>
      <w:r>
        <w:rPr>
          <w:rFonts w:ascii="宋体" w:hAnsi="宋体" w:eastAsia="宋体" w:cs="宋体"/>
          <w:spacing w:val="-12"/>
          <w:sz w:val="20"/>
          <w:szCs w:val="20"/>
        </w:rPr>
        <w:t>。</w:t>
      </w:r>
    </w:p>
    <w:p>
      <w:pPr>
        <w:spacing w:before="43" w:line="219" w:lineRule="auto"/>
        <w:ind w:left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21"/>
          <w:sz w:val="20"/>
          <w:szCs w:val="20"/>
        </w:rPr>
        <w:t>1.3</w:t>
      </w:r>
      <w:r>
        <w:rPr>
          <w:rFonts w:ascii="宋体" w:hAnsi="宋体" w:eastAsia="宋体" w:cs="宋体"/>
          <w:spacing w:val="9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1"/>
          <w:sz w:val="20"/>
          <w:szCs w:val="20"/>
        </w:rPr>
        <w:t>观察指标</w:t>
      </w:r>
    </w:p>
    <w:p>
      <w:pPr>
        <w:spacing w:before="34" w:line="238" w:lineRule="auto"/>
        <w:ind w:right="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  <w:u w:val="single" w:color="auto"/>
        </w:rPr>
        <w:t>1.3.1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  <w:u w:val="single" w:color="auto"/>
        </w:rPr>
        <w:t>舌下微循环监测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</w:t>
      </w:r>
      <w:r>
        <w:rPr>
          <w:rFonts w:ascii="宋体" w:hAnsi="宋体" w:eastAsia="宋体" w:cs="宋体"/>
          <w:spacing w:val="-6"/>
          <w:sz w:val="20"/>
          <w:szCs w:val="20"/>
          <w:u w:val="single" w:color="auto"/>
        </w:rPr>
        <w:t>应用旁流暗视野成像(SDF;LH-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SDF-1,徐州利华电子科技有限公司，中国)对所有入选患者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分别于T1、T2、T3和T4时点测定舌下微循环状态</w:t>
      </w:r>
      <w:r>
        <w:rPr>
          <w:rFonts w:ascii="宋体" w:hAnsi="宋体" w:eastAsia="宋体" w:cs="宋体"/>
          <w:color w:val="FF0000"/>
          <w:spacing w:val="-11"/>
          <w:sz w:val="20"/>
          <w:szCs w:val="20"/>
        </w:rPr>
        <w:t>。</w:t>
      </w:r>
      <w:r>
        <w:rPr>
          <w:rFonts w:ascii="宋体" w:hAnsi="宋体" w:eastAsia="宋体" w:cs="宋体"/>
          <w:spacing w:val="-11"/>
          <w:sz w:val="20"/>
          <w:szCs w:val="20"/>
        </w:rPr>
        <w:t>为尽量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8"/>
          <w:sz w:val="20"/>
          <w:szCs w:val="20"/>
        </w:rPr>
        <w:t>排除操作者对指标的影响，所有舌下微循环监测均由经培训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2"/>
          <w:sz w:val="20"/>
          <w:szCs w:val="20"/>
        </w:rPr>
        <w:t>后的专业人员操作完成。患者取仰卧位，用等渗盐水清除口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5"/>
          <w:sz w:val="20"/>
          <w:szCs w:val="20"/>
        </w:rPr>
        <w:t>腔内分泌物后，每次左、中、右3个不同的舌下部位进行微循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环测定，每个位置保持图像相对稳定时持续监测20s。采用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ANA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3.1软件对所取的每段图像进行分析，选取图像最清晰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sz w:val="20"/>
          <w:szCs w:val="20"/>
        </w:rPr>
        <w:t>的一帧作为分析对象，测出相关指标的数值，对3个不同部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位的该指标数值取平均数进行分析。选择舌下微血管(直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w w:val="99"/>
          <w:sz w:val="20"/>
          <w:szCs w:val="20"/>
        </w:rPr>
        <w:t>径</w:t>
      </w:r>
      <w:r>
        <w:rPr>
          <w:rFonts w:ascii="Times New Roman" w:hAnsi="Times New Roman" w:eastAsia="Times New Roman" w:cs="Times New Roman"/>
          <w:spacing w:val="-11"/>
          <w:w w:val="99"/>
          <w:sz w:val="20"/>
          <w:szCs w:val="20"/>
        </w:rPr>
        <w:t>≤25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9"/>
          <w:sz w:val="20"/>
          <w:szCs w:val="20"/>
        </w:rPr>
        <w:t>μm)</w:t>
      </w:r>
      <w:r>
        <w:rPr>
          <w:rFonts w:ascii="宋体" w:hAnsi="宋体" w:eastAsia="宋体" w:cs="宋体"/>
          <w:spacing w:val="-11"/>
          <w:w w:val="99"/>
          <w:sz w:val="20"/>
          <w:szCs w:val="20"/>
        </w:rPr>
        <w:t>灌注血管密度</w:t>
      </w:r>
      <w:r>
        <w:rPr>
          <w:rFonts w:ascii="Times New Roman" w:hAnsi="Times New Roman" w:eastAsia="Times New Roman" w:cs="Times New Roman"/>
          <w:spacing w:val="-11"/>
          <w:w w:val="9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10"/>
          <w:w w:val="99"/>
          <w:sz w:val="20"/>
          <w:szCs w:val="20"/>
        </w:rPr>
        <w:t>perfused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20"/>
          <w:szCs w:val="20"/>
        </w:rPr>
        <w:t>vessel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20"/>
          <w:szCs w:val="20"/>
        </w:rPr>
        <w:t>density</w:t>
      </w:r>
      <w:r>
        <w:rPr>
          <w:rFonts w:ascii="Times New Roman" w:hAnsi="Times New Roman" w:eastAsia="Times New Roman" w:cs="Times New Roman"/>
          <w:spacing w:val="-11"/>
          <w:w w:val="99"/>
          <w:sz w:val="20"/>
          <w:szCs w:val="20"/>
        </w:rPr>
        <w:t>,PVD)</w:t>
      </w:r>
      <w:r>
        <w:rPr>
          <w:rFonts w:ascii="宋体" w:hAnsi="宋体" w:eastAsia="宋体" w:cs="宋体"/>
          <w:spacing w:val="-11"/>
          <w:w w:val="99"/>
          <w:sz w:val="20"/>
          <w:szCs w:val="20"/>
        </w:rPr>
        <w:t>、总血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管密</w:t>
      </w:r>
      <w:r>
        <w:rPr>
          <w:rFonts w:ascii="宋体" w:hAnsi="宋体" w:eastAsia="宋体" w:cs="宋体"/>
          <w:spacing w:val="-10"/>
          <w:sz w:val="20"/>
          <w:szCs w:val="20"/>
        </w:rPr>
        <w:t>度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>total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>vessel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>density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>TVD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、灌注血管比例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>proportion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>perfused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>vessels,PPV)</w:t>
      </w:r>
      <w:r>
        <w:rPr>
          <w:rFonts w:ascii="宋体" w:hAnsi="宋体" w:eastAsia="宋体" w:cs="宋体"/>
          <w:spacing w:val="-7"/>
          <w:sz w:val="20"/>
          <w:szCs w:val="20"/>
        </w:rPr>
        <w:t>和微血管流动指数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>(microcirculatory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9"/>
          <w:w w:val="98"/>
          <w:sz w:val="20"/>
          <w:szCs w:val="20"/>
        </w:rPr>
        <w:t>flow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9"/>
          <w:w w:val="98"/>
          <w:sz w:val="20"/>
          <w:szCs w:val="20"/>
        </w:rPr>
        <w:t>index,MFI)作为舌下微循环状态的评价指标。</w:t>
      </w:r>
    </w:p>
    <w:p>
      <w:pPr>
        <w:spacing w:before="27" w:line="235" w:lineRule="auto"/>
        <w:ind w:right="71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8"/>
          <w:sz w:val="20"/>
          <w:szCs w:val="20"/>
        </w:rPr>
        <w:t>1.3.2</w:t>
      </w:r>
      <w:r>
        <w:rPr>
          <w:rFonts w:ascii="宋体" w:hAnsi="宋体" w:eastAsia="宋体" w:cs="宋体"/>
          <w:spacing w:val="10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其他监测指标</w:t>
      </w:r>
      <w:r>
        <w:rPr>
          <w:rFonts w:ascii="宋体" w:hAnsi="宋体" w:eastAsia="宋体" w:cs="宋体"/>
          <w:spacing w:val="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分别监测T1、T2、T3和T4的体温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9"/>
          <w:w w:val="99"/>
          <w:sz w:val="20"/>
          <w:szCs w:val="20"/>
        </w:rPr>
        <w:t>(T)、动脉血乳酸水平(Lac)、氧合指数[p(O2)/FiO</w:t>
      </w:r>
      <w:r>
        <w:rPr>
          <w:rFonts w:ascii="宋体" w:hAnsi="宋体" w:eastAsia="宋体" w:cs="宋体"/>
          <w:spacing w:val="-20"/>
          <w:w w:val="99"/>
          <w:sz w:val="20"/>
          <w:szCs w:val="20"/>
        </w:rPr>
        <w:t>2]、动脉血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p(CO2)、碱剩余(BE)和酸碱度(pH),记录术中</w:t>
      </w:r>
      <w:r>
        <w:rPr>
          <w:rFonts w:ascii="宋体" w:hAnsi="宋体" w:eastAsia="宋体" w:cs="宋体"/>
          <w:spacing w:val="-14"/>
          <w:sz w:val="20"/>
          <w:szCs w:val="20"/>
        </w:rPr>
        <w:t>每位患者的总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液体输入量，术后1d随访患者有无术中知晓，分别于术后</w:t>
      </w:r>
    </w:p>
    <w:p>
      <w:pPr>
        <w:spacing w:before="22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5"/>
          <w:sz w:val="20"/>
          <w:szCs w:val="20"/>
        </w:rPr>
        <w:t>1、3及7d随访患者有无术后认知功能的改变。</w:t>
      </w:r>
    </w:p>
    <w:p>
      <w:pPr>
        <w:spacing w:before="22" w:line="235" w:lineRule="auto"/>
        <w:ind w:right="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1.4</w:t>
      </w:r>
      <w:r>
        <w:rPr>
          <w:rFonts w:ascii="宋体" w:hAnsi="宋体" w:eastAsia="宋体" w:cs="宋体"/>
          <w:spacing w:val="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统计学方法</w:t>
      </w:r>
      <w:r>
        <w:rPr>
          <w:rFonts w:ascii="宋体" w:hAnsi="宋体" w:eastAsia="宋体" w:cs="宋体"/>
          <w:spacing w:val="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采用SPSS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18.0软件进行统计学分析。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符合正态分布的计量资料以均数±标准差(t±s)表示。各指</w:t>
      </w:r>
      <w:r>
        <w:rPr>
          <w:rFonts w:ascii="宋体" w:hAnsi="宋体" w:eastAsia="宋体" w:cs="宋体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9"/>
          <w:sz w:val="20"/>
          <w:szCs w:val="20"/>
        </w:rPr>
        <w:t>标不同时点比较使用单因素方差分析，多重比较用LSD-t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法，以P&lt;0.05为差异有统计学意义。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66" w:line="226" w:lineRule="auto"/>
        <w:ind w:left="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4"/>
          <w:sz w:val="20"/>
          <w:szCs w:val="20"/>
        </w:rPr>
        <w:t>2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4"/>
          <w:sz w:val="20"/>
          <w:szCs w:val="20"/>
        </w:rPr>
        <w:t>结果</w:t>
      </w:r>
    </w:p>
    <w:p>
      <w:pPr>
        <w:spacing w:before="15" w:line="229" w:lineRule="auto"/>
        <w:ind w:right="32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2.1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4"/>
          <w:sz w:val="23"/>
          <w:szCs w:val="23"/>
        </w:rPr>
        <w:t>患者血流动力学变化</w:t>
      </w:r>
      <w:r>
        <w:rPr>
          <w:rFonts w:ascii="宋体" w:hAnsi="宋体" w:eastAsia="宋体" w:cs="宋体"/>
          <w:spacing w:val="7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与T1</w:t>
      </w:r>
      <w:r>
        <w:rPr>
          <w:rFonts w:ascii="宋体" w:hAnsi="宋体" w:eastAsia="宋体" w:cs="宋体"/>
          <w:spacing w:val="-5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比较，T2、T3和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3"/>
          <w:sz w:val="23"/>
          <w:szCs w:val="23"/>
        </w:rPr>
        <w:t>T4时</w:t>
      </w:r>
      <w:r>
        <w:rPr>
          <w:rFonts w:ascii="宋体" w:hAnsi="宋体" w:eastAsia="宋体" w:cs="宋体"/>
          <w:sz w:val="23"/>
          <w:szCs w:val="23"/>
        </w:rPr>
        <w:t>MAP</w:t>
      </w:r>
      <w:r>
        <w:rPr>
          <w:rFonts w:ascii="宋体" w:hAnsi="宋体" w:eastAsia="宋体" w:cs="宋体"/>
          <w:spacing w:val="23"/>
          <w:sz w:val="23"/>
          <w:szCs w:val="23"/>
        </w:rPr>
        <w:t>持续下降(P&lt;0.05);</w:t>
      </w:r>
      <w:r>
        <w:rPr>
          <w:rFonts w:ascii="宋体" w:hAnsi="宋体" w:eastAsia="宋体" w:cs="宋体"/>
          <w:sz w:val="23"/>
          <w:szCs w:val="23"/>
        </w:rPr>
        <w:t>HR</w:t>
      </w:r>
      <w:r>
        <w:rPr>
          <w:rFonts w:ascii="宋体" w:hAnsi="宋体" w:eastAsia="宋体" w:cs="宋体"/>
          <w:spacing w:val="23"/>
          <w:sz w:val="23"/>
          <w:szCs w:val="23"/>
        </w:rPr>
        <w:t>在T2时升高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"/>
          <w:sz w:val="23"/>
          <w:szCs w:val="23"/>
        </w:rPr>
        <w:t>(P&lt;0.05),T3时差异无统计学意义(P&gt;0.05),T4时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下降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(P&lt;0.05);</w:t>
      </w:r>
      <w:r>
        <w:rPr>
          <w:rFonts w:ascii="宋体" w:hAnsi="宋体" w:eastAsia="宋体" w:cs="宋体"/>
          <w:spacing w:val="-16"/>
          <w:sz w:val="23"/>
          <w:szCs w:val="23"/>
        </w:rPr>
        <w:t>体温、</w:t>
      </w:r>
      <w:r>
        <w:rPr>
          <w:rFonts w:ascii="宋体" w:hAnsi="宋体" w:eastAsia="宋体" w:cs="宋体"/>
          <w:spacing w:val="-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pH</w:t>
      </w:r>
      <w:r>
        <w:rPr>
          <w:rFonts w:ascii="宋体" w:hAnsi="宋体" w:eastAsia="宋体" w:cs="宋体"/>
          <w:spacing w:val="-16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p(O2)/FiOz</w:t>
      </w:r>
      <w:r>
        <w:rPr>
          <w:rFonts w:ascii="宋体" w:hAnsi="宋体" w:eastAsia="宋体" w:cs="宋体"/>
          <w:spacing w:val="-16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p(CO)</w:t>
      </w:r>
      <w:r>
        <w:rPr>
          <w:rFonts w:ascii="宋体" w:hAnsi="宋体" w:eastAsia="宋体" w:cs="宋体"/>
          <w:spacing w:val="-16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BE</w:t>
      </w:r>
      <w:r>
        <w:rPr>
          <w:rFonts w:ascii="宋体" w:hAnsi="宋体" w:eastAsia="宋体" w:cs="宋体"/>
          <w:spacing w:val="-16"/>
          <w:sz w:val="23"/>
          <w:szCs w:val="23"/>
        </w:rPr>
        <w:t>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2"/>
          <w:sz w:val="23"/>
          <w:szCs w:val="23"/>
        </w:rPr>
        <w:t>Lac4个时点差异均无统计学意义(P&gt;0.</w:t>
      </w:r>
      <w:r>
        <w:rPr>
          <w:rFonts w:ascii="宋体" w:hAnsi="宋体" w:eastAsia="宋体" w:cs="宋体"/>
          <w:spacing w:val="-13"/>
          <w:sz w:val="23"/>
          <w:szCs w:val="23"/>
        </w:rPr>
        <w:t>05),见表1。</w:t>
      </w:r>
    </w:p>
    <w:p>
      <w:pPr>
        <w:spacing w:before="25" w:line="214" w:lineRule="auto"/>
        <w:ind w:right="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2.2</w:t>
      </w:r>
      <w:r>
        <w:rPr>
          <w:rFonts w:ascii="宋体" w:hAnsi="宋体" w:eastAsia="宋体" w:cs="宋体"/>
          <w:spacing w:val="11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舌下微循环指标的变化</w:t>
      </w:r>
      <w:r>
        <w:rPr>
          <w:rFonts w:ascii="宋体" w:hAnsi="宋体" w:eastAsia="宋体" w:cs="宋体"/>
          <w:spacing w:val="8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与T1</w:t>
      </w:r>
      <w:r>
        <w:rPr>
          <w:rFonts w:ascii="宋体" w:hAnsi="宋体" w:eastAsia="宋体" w:cs="宋体"/>
          <w:spacing w:val="-4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比较，T2时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>PVD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>TVD</w:t>
      </w:r>
      <w:r>
        <w:rPr>
          <w:rFonts w:ascii="宋体" w:hAnsi="宋体" w:eastAsia="宋体" w:cs="宋体"/>
          <w:spacing w:val="-10"/>
          <w:sz w:val="23"/>
          <w:szCs w:val="23"/>
        </w:rPr>
        <w:t>和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>PPV</w:t>
      </w:r>
      <w:r>
        <w:rPr>
          <w:rFonts w:ascii="宋体" w:hAnsi="宋体" w:eastAsia="宋体" w:cs="宋体"/>
          <w:spacing w:val="-10"/>
          <w:sz w:val="23"/>
          <w:szCs w:val="23"/>
        </w:rPr>
        <w:t>下降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>(P&lt;0.01),MFI</w:t>
      </w:r>
      <w:r>
        <w:rPr>
          <w:rFonts w:ascii="宋体" w:hAnsi="宋体" w:eastAsia="宋体" w:cs="宋体"/>
          <w:spacing w:val="-10"/>
          <w:sz w:val="23"/>
          <w:szCs w:val="23"/>
        </w:rPr>
        <w:t>差异无统计学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意义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(P&gt;0.05);T</w:t>
      </w:r>
      <w:r>
        <w:rPr>
          <w:rFonts w:ascii="Times New Roman" w:hAnsi="Times New Roman" w:eastAsia="Times New Roman" w:cs="Times New Roman"/>
          <w:spacing w:val="-17"/>
          <w:sz w:val="23"/>
          <w:szCs w:val="23"/>
        </w:rPr>
        <w:t>3</w:t>
      </w:r>
      <w:r>
        <w:rPr>
          <w:rFonts w:ascii="宋体" w:hAnsi="宋体" w:eastAsia="宋体" w:cs="宋体"/>
          <w:spacing w:val="-17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7"/>
          <w:sz w:val="23"/>
          <w:szCs w:val="23"/>
        </w:rPr>
        <w:t>T4</w:t>
      </w:r>
      <w:r>
        <w:rPr>
          <w:rFonts w:ascii="宋体" w:hAnsi="宋体" w:eastAsia="宋体" w:cs="宋体"/>
          <w:spacing w:val="-17"/>
          <w:sz w:val="23"/>
          <w:szCs w:val="23"/>
        </w:rPr>
        <w:t>时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PVD</w:t>
      </w:r>
      <w:r>
        <w:rPr>
          <w:rFonts w:ascii="宋体" w:hAnsi="宋体" w:eastAsia="宋体" w:cs="宋体"/>
          <w:spacing w:val="-17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TVD</w:t>
      </w:r>
      <w:r>
        <w:rPr>
          <w:rFonts w:ascii="宋体" w:hAnsi="宋体" w:eastAsia="宋体" w:cs="宋体"/>
          <w:spacing w:val="-17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PPV</w:t>
      </w:r>
      <w:r>
        <w:rPr>
          <w:rFonts w:ascii="宋体" w:hAnsi="宋体" w:eastAsia="宋体" w:cs="宋体"/>
          <w:spacing w:val="-17"/>
          <w:sz w:val="23"/>
          <w:szCs w:val="23"/>
        </w:rPr>
        <w:t>和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MFI</w:t>
      </w:r>
      <w:r>
        <w:rPr>
          <w:rFonts w:ascii="宋体" w:hAnsi="宋体" w:eastAsia="宋体" w:cs="宋体"/>
          <w:spacing w:val="-17"/>
          <w:sz w:val="23"/>
          <w:szCs w:val="23"/>
        </w:rPr>
        <w:t>均下</w:t>
      </w:r>
    </w:p>
    <w:p>
      <w:pPr>
        <w:sectPr>
          <w:pgSz w:w="11110" w:h="15000"/>
          <w:pgMar w:top="597" w:right="522" w:bottom="0" w:left="820" w:header="0" w:footer="0" w:gutter="0"/>
          <w:cols w:equalWidth="0" w:num="2">
            <w:col w:w="4930" w:space="100"/>
            <w:col w:w="4738"/>
          </w:cols>
        </w:sectPr>
      </w:pPr>
    </w:p>
    <w:p>
      <w:pPr>
        <w:spacing w:line="162" w:lineRule="exact"/>
      </w:pPr>
    </w:p>
    <w:p>
      <w:pPr>
        <w:sectPr>
          <w:type w:val="continuous"/>
          <w:pgSz w:w="11110" w:h="15000"/>
          <w:pgMar w:top="597" w:right="522" w:bottom="0" w:left="820" w:header="0" w:footer="0" w:gutter="0"/>
          <w:cols w:equalWidth="0" w:num="1">
            <w:col w:w="9767"/>
          </w:cols>
        </w:sectPr>
      </w:pPr>
    </w:p>
    <w:p>
      <w:pPr>
        <w:spacing w:before="38" w:line="214" w:lineRule="auto"/>
        <w:ind w:left="3171" w:right="1703" w:hanging="302"/>
        <w:rPr>
          <w:rFonts w:ascii="黑体" w:hAnsi="黑体" w:eastAsia="黑体" w:cs="黑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Tab</w:t>
      </w:r>
      <w:r>
        <w:rPr>
          <w:rFonts w:ascii="Times New Roman" w:hAnsi="Times New Roman" w:eastAsia="Times New Roman" w:cs="Times New Roman"/>
          <w:b/>
          <w:bCs/>
          <w:spacing w:val="-11"/>
          <w:sz w:val="20"/>
          <w:szCs w:val="20"/>
        </w:rPr>
        <w:t>.1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Hemodynamic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index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blood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20"/>
          <w:szCs w:val="20"/>
        </w:rPr>
        <w:t>gas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  <w:sz w:val="20"/>
          <w:szCs w:val="20"/>
        </w:rPr>
        <w:t>analysis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表</w:t>
      </w:r>
      <w:r>
        <w:rPr>
          <w:rFonts w:ascii="黑体" w:hAnsi="黑体" w:eastAsia="黑体" w:cs="黑体"/>
          <w:spacing w:val="-15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1</w:t>
      </w:r>
      <w:r>
        <w:rPr>
          <w:rFonts w:ascii="黑体" w:hAnsi="黑体" w:eastAsia="黑体" w:cs="黑体"/>
          <w:spacing w:val="35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不同麻醉深度血流动力学和血气指标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3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(n=20,x±s)</w:t>
      </w:r>
    </w:p>
    <w:p>
      <w:pPr>
        <w:sectPr>
          <w:type w:val="continuous"/>
          <w:pgSz w:w="11110" w:h="15000"/>
          <w:pgMar w:top="597" w:right="522" w:bottom="0" w:left="820" w:header="0" w:footer="0" w:gutter="0"/>
          <w:cols w:equalWidth="0" w:num="2">
            <w:col w:w="8561" w:space="100"/>
            <w:col w:w="1107"/>
          </w:cols>
        </w:sectPr>
      </w:pPr>
    </w:p>
    <w:p>
      <w:pPr>
        <w:spacing w:line="86" w:lineRule="auto"/>
        <w:rPr>
          <w:rFonts w:ascii="Arial"/>
          <w:sz w:val="2"/>
        </w:rPr>
      </w:pPr>
    </w:p>
    <w:tbl>
      <w:tblPr>
        <w:tblStyle w:val="4"/>
        <w:tblW w:w="969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959"/>
        <w:gridCol w:w="1622"/>
        <w:gridCol w:w="1594"/>
        <w:gridCol w:w="1553"/>
        <w:gridCol w:w="122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0" w:line="220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</w:t>
            </w:r>
          </w:p>
        </w:tc>
        <w:tc>
          <w:tcPr>
            <w:tcW w:w="1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3" w:line="184" w:lineRule="auto"/>
              <w:ind w:left="13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T1</w:t>
            </w:r>
          </w:p>
        </w:tc>
        <w:tc>
          <w:tcPr>
            <w:tcW w:w="162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3" w:line="183" w:lineRule="auto"/>
              <w:ind w:left="6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T2</w:t>
            </w:r>
          </w:p>
        </w:tc>
        <w:tc>
          <w:tcPr>
            <w:tcW w:w="15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3" w:line="183" w:lineRule="auto"/>
              <w:ind w:left="6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T3</w:t>
            </w:r>
          </w:p>
        </w:tc>
        <w:tc>
          <w:tcPr>
            <w:tcW w:w="155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3" w:line="183" w:lineRule="auto"/>
              <w:ind w:left="6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T4</w:t>
            </w:r>
          </w:p>
        </w:tc>
        <w:tc>
          <w:tcPr>
            <w:tcW w:w="122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4" w:line="182" w:lineRule="auto"/>
              <w:ind w:left="5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F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78" w:hRule="atLeast"/>
        </w:trPr>
        <w:tc>
          <w:tcPr>
            <w:tcW w:w="1749" w:type="dxa"/>
            <w:tcBorders>
              <w:top w:val="single" w:color="000000" w:sz="4" w:space="0"/>
            </w:tcBorders>
            <w:vAlign w:val="top"/>
          </w:tcPr>
          <w:p>
            <w:pPr>
              <w:spacing w:before="71" w:line="214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MAP(mmHg)</w:t>
            </w:r>
          </w:p>
        </w:tc>
        <w:tc>
          <w:tcPr>
            <w:tcW w:w="1959" w:type="dxa"/>
            <w:tcBorders>
              <w:top w:val="single" w:color="000000" w:sz="4" w:space="0"/>
            </w:tcBorders>
            <w:vAlign w:val="top"/>
          </w:tcPr>
          <w:p>
            <w:pPr>
              <w:spacing w:before="97" w:line="235" w:lineRule="auto"/>
              <w:ind w:left="8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91.85±4.13</w:t>
            </w:r>
          </w:p>
        </w:tc>
        <w:tc>
          <w:tcPr>
            <w:tcW w:w="1622" w:type="dxa"/>
            <w:tcBorders>
              <w:top w:val="single" w:color="000000" w:sz="4" w:space="0"/>
            </w:tcBorders>
            <w:vAlign w:val="top"/>
          </w:tcPr>
          <w:p>
            <w:pPr>
              <w:spacing w:before="107" w:line="235" w:lineRule="auto"/>
              <w:ind w:left="4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83.85±3.76°</w:t>
            </w:r>
          </w:p>
        </w:tc>
        <w:tc>
          <w:tcPr>
            <w:tcW w:w="1594" w:type="dxa"/>
            <w:tcBorders>
              <w:top w:val="single" w:color="000000" w:sz="4" w:space="0"/>
            </w:tcBorders>
            <w:vAlign w:val="top"/>
          </w:tcPr>
          <w:p>
            <w:pPr>
              <w:spacing w:before="107" w:line="235" w:lineRule="auto"/>
              <w:ind w:left="3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78.35±3.13°</w:t>
            </w:r>
          </w:p>
        </w:tc>
        <w:tc>
          <w:tcPr>
            <w:tcW w:w="1553" w:type="dxa"/>
            <w:tcBorders>
              <w:top w:val="single" w:color="000000" w:sz="4" w:space="0"/>
            </w:tcBorders>
            <w:vAlign w:val="top"/>
          </w:tcPr>
          <w:p>
            <w:pPr>
              <w:spacing w:before="107" w:line="235" w:lineRule="auto"/>
              <w:ind w:left="4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72.30±4.21"</w:t>
            </w:r>
          </w:p>
        </w:tc>
        <w:tc>
          <w:tcPr>
            <w:tcW w:w="1222" w:type="dxa"/>
            <w:tcBorders>
              <w:top w:val="single" w:color="000000" w:sz="4" w:space="0"/>
            </w:tcBorders>
            <w:vAlign w:val="top"/>
          </w:tcPr>
          <w:p>
            <w:pPr>
              <w:spacing w:before="99" w:line="184" w:lineRule="auto"/>
              <w:ind w:left="2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217.100*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73" w:hRule="atLeast"/>
        </w:trPr>
        <w:tc>
          <w:tcPr>
            <w:tcW w:w="1749" w:type="dxa"/>
            <w:vAlign w:val="top"/>
          </w:tcPr>
          <w:p>
            <w:pPr>
              <w:spacing w:before="58" w:line="219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HR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(次/</w:t>
            </w:r>
            <w:r>
              <w:rPr>
                <w:rFonts w:ascii="宋体" w:hAnsi="宋体" w:eastAsia="宋体" w:cs="宋体"/>
                <w:sz w:val="13"/>
                <w:szCs w:val="13"/>
              </w:rPr>
              <w:t>min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)</w:t>
            </w:r>
          </w:p>
        </w:tc>
        <w:tc>
          <w:tcPr>
            <w:tcW w:w="1959" w:type="dxa"/>
            <w:vAlign w:val="top"/>
          </w:tcPr>
          <w:p>
            <w:pPr>
              <w:spacing w:before="69" w:line="235" w:lineRule="auto"/>
              <w:ind w:left="8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71.40±6.91</w:t>
            </w:r>
          </w:p>
        </w:tc>
        <w:tc>
          <w:tcPr>
            <w:tcW w:w="1622" w:type="dxa"/>
            <w:vAlign w:val="top"/>
          </w:tcPr>
          <w:p>
            <w:pPr>
              <w:spacing w:before="99" w:line="235" w:lineRule="auto"/>
              <w:ind w:left="4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85.40±6.03"</w:t>
            </w:r>
          </w:p>
        </w:tc>
        <w:tc>
          <w:tcPr>
            <w:tcW w:w="1594" w:type="dxa"/>
            <w:vAlign w:val="top"/>
          </w:tcPr>
          <w:p>
            <w:pPr>
              <w:spacing w:before="99" w:line="235" w:lineRule="auto"/>
              <w:ind w:left="4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73.10±5.57</w:t>
            </w:r>
          </w:p>
        </w:tc>
        <w:tc>
          <w:tcPr>
            <w:tcW w:w="1553" w:type="dxa"/>
            <w:vAlign w:val="top"/>
          </w:tcPr>
          <w:p>
            <w:pPr>
              <w:spacing w:before="109" w:line="232" w:lineRule="auto"/>
              <w:ind w:left="5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65.5±3.02‘</w:t>
            </w:r>
          </w:p>
        </w:tc>
        <w:tc>
          <w:tcPr>
            <w:tcW w:w="1222" w:type="dxa"/>
            <w:vAlign w:val="top"/>
          </w:tcPr>
          <w:p>
            <w:pPr>
              <w:spacing w:before="91" w:line="184" w:lineRule="auto"/>
              <w:ind w:left="3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118.200*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9" w:type="dxa"/>
            <w:vAlign w:val="top"/>
          </w:tcPr>
          <w:p>
            <w:pPr>
              <w:spacing w:before="56" w:line="221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体温(℃)</w:t>
            </w:r>
          </w:p>
        </w:tc>
        <w:tc>
          <w:tcPr>
            <w:tcW w:w="1959" w:type="dxa"/>
            <w:vAlign w:val="top"/>
          </w:tcPr>
          <w:p>
            <w:pPr>
              <w:spacing w:before="86" w:line="235" w:lineRule="auto"/>
              <w:ind w:left="8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36.16±0.25</w:t>
            </w:r>
          </w:p>
        </w:tc>
        <w:tc>
          <w:tcPr>
            <w:tcW w:w="1622" w:type="dxa"/>
            <w:vAlign w:val="top"/>
          </w:tcPr>
          <w:p>
            <w:pPr>
              <w:spacing w:before="96" w:line="235" w:lineRule="auto"/>
              <w:ind w:left="4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36.09±0.36</w:t>
            </w:r>
          </w:p>
        </w:tc>
        <w:tc>
          <w:tcPr>
            <w:tcW w:w="1594" w:type="dxa"/>
            <w:vAlign w:val="top"/>
          </w:tcPr>
          <w:p>
            <w:pPr>
              <w:spacing w:before="106" w:line="234" w:lineRule="auto"/>
              <w:ind w:left="4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36.23±0.23</w:t>
            </w:r>
          </w:p>
        </w:tc>
        <w:tc>
          <w:tcPr>
            <w:tcW w:w="1553" w:type="dxa"/>
            <w:vAlign w:val="top"/>
          </w:tcPr>
          <w:p>
            <w:pPr>
              <w:spacing w:before="86" w:line="235" w:lineRule="auto"/>
              <w:ind w:left="4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36.14±0.27</w:t>
            </w:r>
          </w:p>
        </w:tc>
        <w:tc>
          <w:tcPr>
            <w:tcW w:w="1222" w:type="dxa"/>
            <w:vAlign w:val="top"/>
          </w:tcPr>
          <w:p>
            <w:pPr>
              <w:spacing w:before="118" w:line="184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1.638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9" w:type="dxa"/>
            <w:vAlign w:val="top"/>
          </w:tcPr>
          <w:p>
            <w:pPr>
              <w:spacing w:before="61" w:line="182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pH</w:t>
            </w:r>
          </w:p>
        </w:tc>
        <w:tc>
          <w:tcPr>
            <w:tcW w:w="1959" w:type="dxa"/>
            <w:vAlign w:val="top"/>
          </w:tcPr>
          <w:p>
            <w:pPr>
              <w:spacing w:before="75" w:line="235" w:lineRule="auto"/>
              <w:ind w:left="9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7.40±0.04</w:t>
            </w:r>
          </w:p>
        </w:tc>
        <w:tc>
          <w:tcPr>
            <w:tcW w:w="1622" w:type="dxa"/>
            <w:vAlign w:val="top"/>
          </w:tcPr>
          <w:p>
            <w:pPr>
              <w:spacing w:before="95" w:line="235" w:lineRule="auto"/>
              <w:ind w:left="5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7.39±0.03</w:t>
            </w:r>
          </w:p>
        </w:tc>
        <w:tc>
          <w:tcPr>
            <w:tcW w:w="1594" w:type="dxa"/>
            <w:vAlign w:val="top"/>
          </w:tcPr>
          <w:p>
            <w:pPr>
              <w:spacing w:before="105" w:line="235" w:lineRule="auto"/>
              <w:ind w:left="4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7.40±0.03</w:t>
            </w:r>
          </w:p>
        </w:tc>
        <w:tc>
          <w:tcPr>
            <w:tcW w:w="1553" w:type="dxa"/>
            <w:vAlign w:val="top"/>
          </w:tcPr>
          <w:p>
            <w:pPr>
              <w:spacing w:before="75" w:line="235" w:lineRule="auto"/>
              <w:ind w:left="4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7.40±0.03</w:t>
            </w:r>
          </w:p>
        </w:tc>
        <w:tc>
          <w:tcPr>
            <w:tcW w:w="1222" w:type="dxa"/>
            <w:vAlign w:val="top"/>
          </w:tcPr>
          <w:p>
            <w:pPr>
              <w:spacing w:before="118" w:line="183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3.940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49" w:type="dxa"/>
            <w:vAlign w:val="top"/>
          </w:tcPr>
          <w:p>
            <w:pPr>
              <w:spacing w:before="63" w:line="214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p(O2)/FiOz(mmHg)</w:t>
            </w:r>
          </w:p>
        </w:tc>
        <w:tc>
          <w:tcPr>
            <w:tcW w:w="1959" w:type="dxa"/>
            <w:vAlign w:val="top"/>
          </w:tcPr>
          <w:p>
            <w:pPr>
              <w:spacing w:before="79" w:line="235" w:lineRule="auto"/>
              <w:ind w:left="7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327.90±54.75</w:t>
            </w:r>
          </w:p>
        </w:tc>
        <w:tc>
          <w:tcPr>
            <w:tcW w:w="1622" w:type="dxa"/>
            <w:vAlign w:val="top"/>
          </w:tcPr>
          <w:p>
            <w:pPr>
              <w:spacing w:before="59" w:line="235" w:lineRule="auto"/>
              <w:ind w:left="4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290.10±47.67</w:t>
            </w:r>
          </w:p>
        </w:tc>
        <w:tc>
          <w:tcPr>
            <w:tcW w:w="1594" w:type="dxa"/>
            <w:vAlign w:val="top"/>
          </w:tcPr>
          <w:p>
            <w:pPr>
              <w:spacing w:before="79" w:line="235" w:lineRule="auto"/>
              <w:ind w:left="3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317.50±48.07</w:t>
            </w:r>
          </w:p>
        </w:tc>
        <w:tc>
          <w:tcPr>
            <w:tcW w:w="1553" w:type="dxa"/>
            <w:vAlign w:val="top"/>
          </w:tcPr>
          <w:p>
            <w:pPr>
              <w:spacing w:before="79" w:line="235" w:lineRule="auto"/>
              <w:ind w:left="3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315.70±64.67</w:t>
            </w:r>
          </w:p>
        </w:tc>
        <w:tc>
          <w:tcPr>
            <w:tcW w:w="1222" w:type="dxa"/>
            <w:vAlign w:val="top"/>
          </w:tcPr>
          <w:p>
            <w:pPr>
              <w:spacing w:before="101" w:line="184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3.116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9" w:type="dxa"/>
            <w:vAlign w:val="top"/>
          </w:tcPr>
          <w:p>
            <w:pPr>
              <w:spacing w:before="69" w:line="214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p(CO2)(mmHg)</w:t>
            </w:r>
          </w:p>
        </w:tc>
        <w:tc>
          <w:tcPr>
            <w:tcW w:w="1959" w:type="dxa"/>
            <w:vAlign w:val="top"/>
          </w:tcPr>
          <w:p>
            <w:pPr>
              <w:spacing w:before="65" w:line="235" w:lineRule="auto"/>
              <w:ind w:left="8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37.25±2.47</w:t>
            </w:r>
          </w:p>
        </w:tc>
        <w:tc>
          <w:tcPr>
            <w:tcW w:w="1622" w:type="dxa"/>
            <w:vAlign w:val="top"/>
          </w:tcPr>
          <w:p>
            <w:pPr>
              <w:spacing w:before="75" w:line="235" w:lineRule="auto"/>
              <w:ind w:left="4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37.85±2.03</w:t>
            </w:r>
          </w:p>
        </w:tc>
        <w:tc>
          <w:tcPr>
            <w:tcW w:w="1594" w:type="dxa"/>
            <w:vAlign w:val="top"/>
          </w:tcPr>
          <w:p>
            <w:pPr>
              <w:spacing w:before="105" w:line="235" w:lineRule="auto"/>
              <w:ind w:left="4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38.65±2.52</w:t>
            </w:r>
          </w:p>
        </w:tc>
        <w:tc>
          <w:tcPr>
            <w:tcW w:w="1553" w:type="dxa"/>
            <w:vAlign w:val="top"/>
          </w:tcPr>
          <w:p>
            <w:pPr>
              <w:spacing w:before="105" w:line="235" w:lineRule="auto"/>
              <w:ind w:left="4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38.00±1.81</w:t>
            </w:r>
          </w:p>
        </w:tc>
        <w:tc>
          <w:tcPr>
            <w:tcW w:w="1222" w:type="dxa"/>
            <w:vAlign w:val="top"/>
          </w:tcPr>
          <w:p>
            <w:pPr>
              <w:spacing w:before="117" w:line="183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2.068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49" w:type="dxa"/>
            <w:vAlign w:val="top"/>
          </w:tcPr>
          <w:p>
            <w:pPr>
              <w:spacing w:before="64" w:line="222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BE(mmol/L)</w:t>
            </w:r>
          </w:p>
        </w:tc>
        <w:tc>
          <w:tcPr>
            <w:tcW w:w="1959" w:type="dxa"/>
            <w:vAlign w:val="top"/>
          </w:tcPr>
          <w:p>
            <w:pPr>
              <w:spacing w:before="73" w:line="235" w:lineRule="auto"/>
              <w:ind w:left="9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0.45±0.60</w:t>
            </w:r>
          </w:p>
        </w:tc>
        <w:tc>
          <w:tcPr>
            <w:tcW w:w="1622" w:type="dxa"/>
            <w:vAlign w:val="top"/>
          </w:tcPr>
          <w:p>
            <w:pPr>
              <w:spacing w:before="93" w:line="228" w:lineRule="auto"/>
              <w:ind w:left="5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0.68±0.63</w:t>
            </w:r>
          </w:p>
        </w:tc>
        <w:tc>
          <w:tcPr>
            <w:tcW w:w="1594" w:type="dxa"/>
            <w:vAlign w:val="top"/>
          </w:tcPr>
          <w:p>
            <w:pPr>
              <w:spacing w:before="103" w:line="214" w:lineRule="auto"/>
              <w:ind w:left="4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0.72±0.60</w:t>
            </w:r>
          </w:p>
        </w:tc>
        <w:tc>
          <w:tcPr>
            <w:tcW w:w="1553" w:type="dxa"/>
            <w:vAlign w:val="top"/>
          </w:tcPr>
          <w:p>
            <w:pPr>
              <w:spacing w:before="103" w:line="214" w:lineRule="auto"/>
              <w:ind w:left="4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0.57±0.65</w:t>
            </w:r>
          </w:p>
        </w:tc>
        <w:tc>
          <w:tcPr>
            <w:tcW w:w="1222" w:type="dxa"/>
            <w:vAlign w:val="top"/>
          </w:tcPr>
          <w:p>
            <w:pPr>
              <w:spacing w:before="115" w:line="183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3.276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49" w:type="dxa"/>
            <w:tcBorders>
              <w:bottom w:val="single" w:color="000000" w:sz="4" w:space="0"/>
            </w:tcBorders>
            <w:vAlign w:val="top"/>
          </w:tcPr>
          <w:p>
            <w:pPr>
              <w:spacing w:before="50" w:line="222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Lac(mmol/L)</w:t>
            </w:r>
          </w:p>
        </w:tc>
        <w:tc>
          <w:tcPr>
            <w:tcW w:w="1959" w:type="dxa"/>
            <w:tcBorders>
              <w:bottom w:val="single" w:color="000000" w:sz="4" w:space="0"/>
            </w:tcBorders>
            <w:vAlign w:val="top"/>
          </w:tcPr>
          <w:p>
            <w:pPr>
              <w:spacing w:before="59" w:line="235" w:lineRule="auto"/>
              <w:ind w:left="9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0.59±0.35</w:t>
            </w:r>
          </w:p>
        </w:tc>
        <w:tc>
          <w:tcPr>
            <w:tcW w:w="1622" w:type="dxa"/>
            <w:tcBorders>
              <w:bottom w:val="single" w:color="000000" w:sz="4" w:space="0"/>
            </w:tcBorders>
            <w:vAlign w:val="top"/>
          </w:tcPr>
          <w:p>
            <w:pPr>
              <w:spacing w:before="99" w:line="211" w:lineRule="auto"/>
              <w:ind w:left="5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0.70±0.36</w:t>
            </w:r>
          </w:p>
        </w:tc>
        <w:tc>
          <w:tcPr>
            <w:tcW w:w="1594" w:type="dxa"/>
            <w:tcBorders>
              <w:bottom w:val="single" w:color="000000" w:sz="4" w:space="0"/>
            </w:tcBorders>
            <w:vAlign w:val="top"/>
          </w:tcPr>
          <w:p>
            <w:pPr>
              <w:spacing w:before="109" w:line="197" w:lineRule="auto"/>
              <w:ind w:left="4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0.59±0.32</w:t>
            </w:r>
          </w:p>
        </w:tc>
        <w:tc>
          <w:tcPr>
            <w:tcW w:w="1553" w:type="dxa"/>
            <w:tcBorders>
              <w:bottom w:val="single" w:color="000000" w:sz="4" w:space="0"/>
            </w:tcBorders>
            <w:vAlign w:val="top"/>
          </w:tcPr>
          <w:p>
            <w:pPr>
              <w:spacing w:before="109" w:line="197" w:lineRule="auto"/>
              <w:ind w:left="4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0.62±0.32</w:t>
            </w:r>
          </w:p>
        </w:tc>
        <w:tc>
          <w:tcPr>
            <w:tcW w:w="1222" w:type="dxa"/>
            <w:tcBorders>
              <w:bottom w:val="single" w:color="000000" w:sz="4" w:space="0"/>
            </w:tcBorders>
            <w:vAlign w:val="top"/>
          </w:tcPr>
          <w:p>
            <w:pPr>
              <w:spacing w:before="131" w:line="165" w:lineRule="auto"/>
              <w:ind w:left="5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0.052</w:t>
            </w:r>
          </w:p>
        </w:tc>
      </w:tr>
    </w:tbl>
    <w:p>
      <w:pPr>
        <w:spacing w:before="82" w:line="184" w:lineRule="auto"/>
        <w:ind w:left="11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*P&lt;0.05;“与T1比较，P&lt;0.05</w:t>
      </w:r>
    </w:p>
    <w:p>
      <w:pPr>
        <w:sectPr>
          <w:type w:val="continuous"/>
          <w:pgSz w:w="11110" w:h="15000"/>
          <w:pgMar w:top="597" w:right="522" w:bottom="0" w:left="820" w:header="0" w:footer="0" w:gutter="0"/>
          <w:cols w:equalWidth="0" w:num="1">
            <w:col w:w="9767"/>
          </w:cols>
        </w:sectPr>
      </w:pPr>
    </w:p>
    <w:p>
      <w:pPr>
        <w:spacing w:before="33" w:line="19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  <w:u w:val="single" w:color="auto"/>
        </w:rPr>
        <w:t>天津医药2015年12月第43卷第12期</w:t>
      </w:r>
      <w:r>
        <w:rPr>
          <w:rFonts w:ascii="宋体" w:hAnsi="宋体" w:eastAsia="宋体" w:cs="宋体"/>
          <w:spacing w:val="18"/>
          <w:sz w:val="17"/>
          <w:szCs w:val="17"/>
          <w:u w:val="single" w:color="auto"/>
        </w:rPr>
        <w:t xml:space="preserve">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            </w:t>
      </w:r>
      <w:r>
        <w:rPr>
          <w:rFonts w:ascii="宋体" w:hAnsi="宋体" w:eastAsia="宋体" w:cs="宋体"/>
          <w:spacing w:val="7"/>
          <w:position w:val="2"/>
          <w:sz w:val="17"/>
          <w:szCs w:val="17"/>
        </w:rPr>
        <w:t>1449</w:t>
      </w:r>
    </w:p>
    <w:p/>
    <w:p>
      <w:pPr>
        <w:spacing w:line="25" w:lineRule="auto"/>
        <w:rPr>
          <w:rFonts w:ascii="Arial"/>
          <w:sz w:val="2"/>
        </w:rPr>
      </w:pPr>
    </w:p>
    <w:p>
      <w:pPr>
        <w:sectPr>
          <w:pgSz w:w="11130" w:h="15000"/>
          <w:pgMar w:top="612" w:right="877" w:bottom="0" w:left="540" w:header="0" w:footer="0" w:gutter="0"/>
          <w:cols w:equalWidth="0" w:num="1">
            <w:col w:w="9713"/>
          </w:cols>
        </w:sectPr>
      </w:pPr>
    </w:p>
    <w:p>
      <w:pPr>
        <w:spacing w:before="42" w:line="256" w:lineRule="auto"/>
        <w:ind w:left="29" w:right="36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降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(P&lt;0</w:t>
      </w:r>
      <w:r>
        <w:rPr>
          <w:rFonts w:ascii="Times New Roman" w:hAnsi="Times New Roman" w:eastAsia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05</w:t>
      </w:r>
      <w:r>
        <w:rPr>
          <w:rFonts w:ascii="宋体" w:hAnsi="宋体" w:eastAsia="宋体" w:cs="宋体"/>
          <w:spacing w:val="4"/>
          <w:sz w:val="20"/>
          <w:szCs w:val="20"/>
        </w:rPr>
        <w:t>或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P&lt;0</w:t>
      </w:r>
      <w:r>
        <w:rPr>
          <w:rFonts w:ascii="Times New Roman" w:hAnsi="Times New Roman" w:eastAsia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01);T2</w:t>
      </w:r>
      <w:r>
        <w:rPr>
          <w:rFonts w:ascii="宋体" w:hAnsi="宋体" w:eastAsia="宋体" w:cs="宋体"/>
          <w:spacing w:val="4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T3</w:t>
      </w:r>
      <w:r>
        <w:rPr>
          <w:rFonts w:ascii="宋体" w:hAnsi="宋体" w:eastAsia="宋体" w:cs="宋体"/>
          <w:spacing w:val="4"/>
          <w:sz w:val="20"/>
          <w:szCs w:val="20"/>
        </w:rPr>
        <w:t>相比，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PVD</w:t>
      </w:r>
      <w:r>
        <w:rPr>
          <w:rFonts w:ascii="Times New Roman" w:hAnsi="Times New Roman" w:eastAsia="Times New Roman" w:cs="Times New Roman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TVD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 xml:space="preserve"> PPV</w:t>
      </w:r>
      <w:r>
        <w:rPr>
          <w:rFonts w:ascii="宋体" w:hAnsi="宋体" w:eastAsia="宋体" w:cs="宋体"/>
          <w:spacing w:val="15"/>
          <w:sz w:val="20"/>
          <w:szCs w:val="20"/>
        </w:rPr>
        <w:t>和</w:t>
      </w:r>
      <w:r>
        <w:rPr>
          <w:rFonts w:ascii="宋体" w:hAnsi="宋体" w:eastAsia="宋体" w:cs="宋体"/>
          <w:sz w:val="20"/>
          <w:szCs w:val="20"/>
        </w:rPr>
        <w:t>MFI</w:t>
      </w:r>
      <w:r>
        <w:rPr>
          <w:rFonts w:ascii="宋体" w:hAnsi="宋体" w:eastAsia="宋体" w:cs="宋体"/>
          <w:spacing w:val="15"/>
          <w:sz w:val="20"/>
          <w:szCs w:val="20"/>
        </w:rPr>
        <w:t>差异无统计学意义(P&gt;0.05),见表2。</w:t>
      </w:r>
    </w:p>
    <w:p>
      <w:pPr>
        <w:spacing w:before="96" w:line="189" w:lineRule="auto"/>
        <w:ind w:left="54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7"/>
          <w:szCs w:val="17"/>
        </w:rPr>
        <w:t>Tab.2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-1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14"/>
          <w:w w:val="101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17"/>
          <w:szCs w:val="17"/>
        </w:rPr>
        <w:t>sublingual</w:t>
      </w:r>
      <w:r>
        <w:rPr>
          <w:rFonts w:ascii="Times New Roman" w:hAnsi="Times New Roman" w:eastAsia="Times New Roman" w:cs="Times New Roman"/>
          <w:spacing w:val="13"/>
          <w:w w:val="101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17"/>
          <w:szCs w:val="17"/>
        </w:rPr>
        <w:t>microcirculation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17"/>
          <w:szCs w:val="17"/>
        </w:rPr>
        <w:t>index</w:t>
      </w:r>
    </w:p>
    <w:p>
      <w:pPr>
        <w:spacing w:before="77" w:line="212" w:lineRule="auto"/>
        <w:ind w:left="55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黑体" w:hAnsi="黑体" w:eastAsia="黑体" w:cs="黑体"/>
          <w:b/>
          <w:bCs/>
          <w:spacing w:val="3"/>
          <w:sz w:val="17"/>
          <w:szCs w:val="17"/>
        </w:rPr>
        <w:t>表</w:t>
      </w:r>
      <w:r>
        <w:rPr>
          <w:rFonts w:ascii="黑体" w:hAnsi="黑体" w:eastAsia="黑体" w:cs="黑体"/>
          <w:spacing w:val="15"/>
          <w:sz w:val="17"/>
          <w:szCs w:val="17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17"/>
          <w:szCs w:val="17"/>
        </w:rPr>
        <w:t>2</w:t>
      </w:r>
      <w:r>
        <w:rPr>
          <w:rFonts w:ascii="黑体" w:hAnsi="黑体" w:eastAsia="黑体" w:cs="黑体"/>
          <w:spacing w:val="70"/>
          <w:sz w:val="17"/>
          <w:szCs w:val="17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17"/>
          <w:szCs w:val="17"/>
        </w:rPr>
        <w:t>不同麻醉深度舌下微循环指标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>(n=20,Z±s)</w:t>
      </w:r>
    </w:p>
    <w:p>
      <w:pPr>
        <w:spacing w:line="62" w:lineRule="exact"/>
      </w:pPr>
    </w:p>
    <w:tbl>
      <w:tblPr>
        <w:tblStyle w:val="4"/>
        <w:tblW w:w="474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7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2" w:line="218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6"/>
                <w:szCs w:val="16"/>
              </w:rPr>
              <w:t>指标</w:t>
            </w:r>
            <w:r>
              <w:rPr>
                <w:rFonts w:ascii="宋体" w:hAnsi="宋体" w:eastAsia="宋体" w:cs="宋体"/>
                <w:spacing w:val="7"/>
                <w:position w:val="1"/>
                <w:sz w:val="16"/>
                <w:szCs w:val="16"/>
              </w:rPr>
              <w:t xml:space="preserve">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T1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T2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T3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position w:val="-1"/>
                <w:sz w:val="16"/>
                <w:szCs w:val="16"/>
              </w:rPr>
              <w:t>T4</w:t>
            </w:r>
            <w:r>
              <w:rPr>
                <w:rFonts w:ascii="宋体" w:hAnsi="宋体" w:eastAsia="宋体" w:cs="宋体"/>
                <w:spacing w:val="1"/>
                <w:position w:val="-1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position w:val="-1"/>
                <w:sz w:val="16"/>
                <w:szCs w:val="16"/>
              </w:rPr>
              <w:t>F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7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2" w:line="284" w:lineRule="auto"/>
              <w:ind w:left="39" w:right="3" w:hanging="1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PVD(mm/mm?)18.08±1.8516.54±1.23*15.75±1.48°10.13±2.12*1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88.4*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TVD(mm/mm²)18.95±1.8116.9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3±1.30°16.14±1.28°12.78±2.39*211.3*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PPV(%)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0.95±0.030.92±0.04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·0.90±0.04°0.78±0.06*190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.6*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3"/>
                <w:sz w:val="16"/>
                <w:szCs w:val="16"/>
              </w:rPr>
              <w:t>MFI</w:t>
            </w:r>
            <w:r>
              <w:rPr>
                <w:rFonts w:ascii="宋体" w:hAnsi="宋体" w:eastAsia="宋体" w:cs="宋体"/>
                <w:spacing w:val="2"/>
                <w:position w:val="-3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2.63±0.562.43±0.572.29±0.40°1.79±0.40°32.3*</w:t>
            </w:r>
          </w:p>
        </w:tc>
      </w:tr>
    </w:tbl>
    <w:p>
      <w:pPr>
        <w:spacing w:before="53" w:line="221" w:lineRule="auto"/>
        <w:ind w:left="2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0"/>
          <w:sz w:val="16"/>
          <w:szCs w:val="16"/>
        </w:rPr>
        <w:t>*P&lt;0.05;与T1比较，与T2比较，与T3比较，P&lt;0.05</w:t>
      </w:r>
    </w:p>
    <w:p>
      <w:pPr>
        <w:spacing w:before="256" w:line="263" w:lineRule="auto"/>
        <w:ind w:left="29" w:right="249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6"/>
          <w:sz w:val="20"/>
          <w:szCs w:val="20"/>
        </w:rPr>
        <w:t>2.3</w:t>
      </w:r>
      <w:r>
        <w:rPr>
          <w:rFonts w:ascii="宋体" w:hAnsi="宋体" w:eastAsia="宋体" w:cs="宋体"/>
          <w:spacing w:val="2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6"/>
          <w:sz w:val="20"/>
          <w:szCs w:val="20"/>
        </w:rPr>
        <w:t>总液体输入量及随访情况</w:t>
      </w:r>
      <w:r>
        <w:rPr>
          <w:rFonts w:ascii="宋体" w:hAnsi="宋体" w:eastAsia="宋体" w:cs="宋体"/>
          <w:spacing w:val="8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试验期间每位患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者总液体输入量(300.0±45.5)</w:t>
      </w:r>
      <w:r>
        <w:rPr>
          <w:rFonts w:ascii="宋体" w:hAnsi="宋体" w:eastAsia="宋体" w:cs="宋体"/>
          <w:sz w:val="20"/>
          <w:szCs w:val="20"/>
        </w:rPr>
        <w:t>mL</w:t>
      </w:r>
      <w:r>
        <w:rPr>
          <w:rFonts w:ascii="宋体" w:hAnsi="宋体" w:eastAsia="宋体" w:cs="宋体"/>
          <w:spacing w:val="5"/>
          <w:sz w:val="20"/>
          <w:szCs w:val="20"/>
        </w:rPr>
        <w:t>。完成试验的所有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9"/>
          <w:sz w:val="20"/>
          <w:szCs w:val="20"/>
        </w:rPr>
        <w:t>患者术后随访均未发生术中知晓，术后1、3和7d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均无认知功能的改变。</w:t>
      </w:r>
    </w:p>
    <w:p>
      <w:pPr>
        <w:spacing w:before="292" w:line="224" w:lineRule="auto"/>
        <w:ind w:left="3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8"/>
          <w:sz w:val="23"/>
          <w:szCs w:val="23"/>
        </w:rPr>
        <w:t>3</w:t>
      </w:r>
      <w:r>
        <w:rPr>
          <w:rFonts w:ascii="黑体" w:hAnsi="黑体" w:eastAsia="黑体" w:cs="黑体"/>
          <w:spacing w:val="100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3"/>
          <w:szCs w:val="23"/>
        </w:rPr>
        <w:t>讨论</w:t>
      </w:r>
    </w:p>
    <w:p>
      <w:pPr>
        <w:spacing w:before="41" w:line="264" w:lineRule="auto"/>
        <w:ind w:left="29" w:right="231" w:firstLine="44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微循环是由小血管构成的复杂网络，可形成器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官特异性的血管网络和输送功能，这个网络的开放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状态和血流情况可以直接影响到全身的循环状态和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氧输送的过程。</w:t>
      </w:r>
      <w:r>
        <w:rPr>
          <w:rFonts w:ascii="宋体" w:hAnsi="宋体" w:eastAsia="宋体" w:cs="宋体"/>
          <w:sz w:val="20"/>
          <w:szCs w:val="20"/>
        </w:rPr>
        <w:t>SDF</w:t>
      </w:r>
      <w:r>
        <w:rPr>
          <w:rFonts w:ascii="宋体" w:hAnsi="宋体" w:eastAsia="宋体" w:cs="宋体"/>
          <w:spacing w:val="18"/>
          <w:sz w:val="20"/>
          <w:szCs w:val="20"/>
        </w:rPr>
        <w:t>技术可在床边动态监测患者的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微循环状态，舌下血流的微循环能够代表体内脏器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3"/>
          <w:sz w:val="20"/>
          <w:szCs w:val="20"/>
        </w:rPr>
        <w:t>的微循环状况，特别是危重者4。</w:t>
      </w:r>
      <w:r>
        <w:rPr>
          <w:rFonts w:ascii="宋体" w:hAnsi="宋体" w:eastAsia="宋体" w:cs="宋体"/>
          <w:sz w:val="20"/>
          <w:szCs w:val="20"/>
        </w:rPr>
        <w:t>SDF</w:t>
      </w:r>
      <w:r>
        <w:rPr>
          <w:rFonts w:ascii="宋体" w:hAnsi="宋体" w:eastAsia="宋体" w:cs="宋体"/>
          <w:spacing w:val="23"/>
          <w:sz w:val="20"/>
          <w:szCs w:val="20"/>
        </w:rPr>
        <w:t>技术观察结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3"/>
          <w:sz w:val="20"/>
          <w:szCs w:val="20"/>
        </w:rPr>
        <w:t>果不受不同观察者的主观影响</w:t>
      </w:r>
      <w:r>
        <w:rPr>
          <w:rFonts w:ascii="Calibri" w:hAnsi="Calibri" w:eastAsia="Calibri" w:cs="Calibri"/>
          <w:spacing w:val="23"/>
          <w:sz w:val="20"/>
          <w:szCs w:val="20"/>
        </w:rPr>
        <w:t>⁵</w:t>
      </w:r>
      <w:r>
        <w:rPr>
          <w:rFonts w:ascii="宋体" w:hAnsi="宋体" w:eastAsia="宋体" w:cs="宋体"/>
          <w:spacing w:val="23"/>
          <w:sz w:val="20"/>
          <w:szCs w:val="20"/>
        </w:rPr>
        <w:t>,其中</w:t>
      </w:r>
      <w:r>
        <w:rPr>
          <w:rFonts w:ascii="宋体" w:hAnsi="宋体" w:eastAsia="宋体" w:cs="宋体"/>
          <w:sz w:val="20"/>
          <w:szCs w:val="20"/>
        </w:rPr>
        <w:t>PVD</w:t>
      </w:r>
      <w:r>
        <w:rPr>
          <w:rFonts w:ascii="宋体" w:hAnsi="宋体" w:eastAsia="宋体" w:cs="宋体"/>
          <w:spacing w:val="23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>PPV</w:t>
      </w:r>
      <w:r>
        <w:rPr>
          <w:rFonts w:ascii="宋体" w:hAnsi="宋体" w:eastAsia="宋体" w:cs="宋体"/>
          <w:spacing w:val="23"/>
          <w:sz w:val="20"/>
          <w:szCs w:val="20"/>
        </w:rPr>
        <w:t>及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MFI</w:t>
      </w:r>
      <w:r>
        <w:rPr>
          <w:rFonts w:ascii="宋体" w:hAnsi="宋体" w:eastAsia="宋体" w:cs="宋体"/>
          <w:spacing w:val="22"/>
          <w:sz w:val="20"/>
          <w:szCs w:val="20"/>
        </w:rPr>
        <w:t>值是反映微循环状态的较好指标%。最近的研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究表明，静脉麻醉药和局部麻醉药可能损害正常人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的微循环7-101。本研究选择观察没有伴发糖尿病、高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血压、血管疾病、肝硬化、慢性肾衰竭的患者，短时间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应用适当浓度的麻醉药，维持一定的麻醉深度，不会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加重微循环调节功能障碍。</w:t>
      </w:r>
    </w:p>
    <w:p>
      <w:pPr>
        <w:spacing w:before="133" w:line="268" w:lineRule="auto"/>
        <w:ind w:left="29" w:right="260" w:firstLine="44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围麻醉期微循环灌注下降可能有其他原因，包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括体温的改变，p(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宋体" w:hAnsi="宋体" w:eastAsia="宋体" w:cs="宋体"/>
          <w:spacing w:val="5"/>
          <w:sz w:val="20"/>
          <w:szCs w:val="20"/>
        </w:rPr>
        <w:t>2)、p(02)及手术的应激。本研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究在麻醉期间密切关注体温，通过加温毯或加温输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液做好保暖措施，结果亦显示患者在麻醉后或手术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中体温差异无统计学意义，排除了其他因素对微循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环的影响。</w:t>
      </w:r>
    </w:p>
    <w:p>
      <w:pPr>
        <w:spacing w:before="49" w:line="257" w:lineRule="auto"/>
        <w:ind w:left="29" w:right="252" w:firstLine="44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当麻醉深度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16"/>
          <w:sz w:val="20"/>
          <w:szCs w:val="20"/>
        </w:rPr>
        <w:t>值小于40时，可能引发微循环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调节功能障碍，在危重患者手术过程中，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7"/>
          <w:sz w:val="20"/>
          <w:szCs w:val="20"/>
        </w:rPr>
        <w:t>值维持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小于40可能加重微循环障碍，血流动力学的变化与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微循环的变化有时并不完全同步I叫。本研究结果显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示，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9"/>
          <w:sz w:val="20"/>
          <w:szCs w:val="20"/>
        </w:rPr>
        <w:t>值在≤50~60(T2)和≤40~50(T3)时2</w:t>
      </w:r>
      <w:r>
        <w:rPr>
          <w:rFonts w:ascii="宋体" w:hAnsi="宋体" w:eastAsia="宋体" w:cs="宋体"/>
          <w:spacing w:val="8"/>
          <w:sz w:val="20"/>
          <w:szCs w:val="20"/>
        </w:rPr>
        <w:t>个时点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PVD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TVD</w:t>
      </w:r>
      <w:r>
        <w:rPr>
          <w:rFonts w:ascii="Times New Roman" w:hAnsi="Times New Roman" w:eastAsia="Times New Roman" w:cs="Times New Roman"/>
          <w:spacing w:val="-2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PPV</w:t>
      </w:r>
      <w:r>
        <w:rPr>
          <w:rFonts w:ascii="宋体" w:hAnsi="宋体" w:eastAsia="宋体" w:cs="宋体"/>
          <w:spacing w:val="1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z w:val="20"/>
          <w:szCs w:val="20"/>
        </w:rPr>
        <w:t>MFI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比较差异无统计学意义，表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明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20"/>
          <w:sz w:val="20"/>
          <w:szCs w:val="20"/>
        </w:rPr>
        <w:t>维持在≤40~60时，微循环状态的变化不明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显。但有研究显示，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9"/>
          <w:sz w:val="20"/>
          <w:szCs w:val="20"/>
        </w:rPr>
        <w:t>值在≤50~60时可能不能有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258" w:lineRule="auto"/>
        <w:ind w:right="3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效地抑制手术切割引起的应激反应，从而伤害性刺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激影响微循环血管的灌注，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11"/>
          <w:sz w:val="20"/>
          <w:szCs w:val="20"/>
        </w:rPr>
        <w:t>在≤40~50时刻能较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好地抑制手术引起的应激反应121。</w:t>
      </w:r>
    </w:p>
    <w:p>
      <w:pPr>
        <w:spacing w:before="41" w:line="258" w:lineRule="auto"/>
        <w:ind w:right="1" w:firstLine="42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综上所述，将</w:t>
      </w:r>
      <w:r>
        <w:rPr>
          <w:rFonts w:ascii="宋体" w:hAnsi="宋体" w:eastAsia="宋体" w:cs="宋体"/>
          <w:sz w:val="20"/>
          <w:szCs w:val="20"/>
        </w:rPr>
        <w:t>BIS</w:t>
      </w:r>
      <w:r>
        <w:rPr>
          <w:rFonts w:ascii="宋体" w:hAnsi="宋体" w:eastAsia="宋体" w:cs="宋体"/>
          <w:spacing w:val="11"/>
          <w:sz w:val="20"/>
          <w:szCs w:val="20"/>
        </w:rPr>
        <w:t>值控制在≤40~50范围，能</w:t>
      </w:r>
      <w:r>
        <w:rPr>
          <w:rFonts w:ascii="宋体" w:hAnsi="宋体" w:eastAsia="宋体" w:cs="宋体"/>
          <w:spacing w:val="10"/>
          <w:sz w:val="20"/>
          <w:szCs w:val="20"/>
        </w:rPr>
        <w:t>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较好地抑制手术引起的应激反应的同时，对微循环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影响较小，且能保持血流动力学的相对稳定。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55" w:line="219" w:lineRule="auto"/>
        <w:ind w:left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8"/>
          <w:sz w:val="17"/>
          <w:szCs w:val="17"/>
        </w:rPr>
        <w:t>参考文献</w:t>
      </w:r>
    </w:p>
    <w:p>
      <w:pPr>
        <w:spacing w:before="86" w:line="261" w:lineRule="auto"/>
        <w:ind w:left="319" w:right="7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[1]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Brookes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ZL,Brown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NJ,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Reilly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CS.Intravenous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anaesthesia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and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rat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microcirculation: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dorsal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microcirculatory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chamber</w:t>
      </w:r>
      <w:r>
        <w:rPr>
          <w:rFonts w:ascii="Times New Roman" w:hAnsi="Times New Roman" w:eastAsia="Times New Roman" w:cs="Times New Roman"/>
          <w:spacing w:val="11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J].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Br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Anaesth,</w:t>
      </w:r>
      <w:r>
        <w:rPr>
          <w:rFonts w:ascii="Times New Roman" w:hAnsi="Times New Roman" w:eastAsia="Times New Roman" w:cs="Times New Roman"/>
          <w:spacing w:val="13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2000,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85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(6):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901-903.</w:t>
      </w:r>
    </w:p>
    <w:p>
      <w:pPr>
        <w:spacing w:before="84" w:line="260" w:lineRule="auto"/>
        <w:ind w:left="318" w:right="5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[2]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Boerma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EC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Voort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PH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Spronk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PE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Relationship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bet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ween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sub-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lingual</w:t>
      </w:r>
      <w:r>
        <w:rPr>
          <w:rFonts w:ascii="Times New Roman" w:hAnsi="Times New Roman" w:eastAsia="Times New Roman" w:cs="Times New Roman"/>
          <w:spacing w:val="11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and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intestinal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microcirculatory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perfusion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patients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with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ab-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dominal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sepsis</w:t>
      </w:r>
      <w:r>
        <w:rPr>
          <w:rFonts w:ascii="Times New Roman" w:hAnsi="Times New Roman" w:eastAsia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Crit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Care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Med,2007,35(4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):1055-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1060.</w:t>
      </w:r>
    </w:p>
    <w:p>
      <w:pPr>
        <w:spacing w:before="83" w:line="269" w:lineRule="auto"/>
        <w:ind w:left="318" w:right="5" w:hanging="319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[3]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Verdant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>De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Backer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z w:val="17"/>
          <w:szCs w:val="17"/>
        </w:rPr>
        <w:t>How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monitoring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he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microcirculation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may</w:t>
      </w:r>
      <w:r>
        <w:rPr>
          <w:rFonts w:ascii="Times New Roman" w:hAnsi="Times New Roman" w:eastAsia="Times New Roman" w:cs="Times New Roman"/>
          <w:spacing w:val="11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help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us</w:t>
      </w:r>
      <w:r>
        <w:rPr>
          <w:rFonts w:ascii="Times New Roman" w:hAnsi="Times New Roman" w:eastAsia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at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bedside</w:t>
      </w:r>
      <w:r>
        <w:rPr>
          <w:rFonts w:ascii="Times New Roman" w:hAnsi="Times New Roman" w:eastAsia="Times New Roman" w:cs="Times New Roman"/>
          <w:spacing w:val="21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Curr</w:t>
      </w:r>
      <w:r>
        <w:rPr>
          <w:rFonts w:ascii="Times New Roman" w:hAnsi="Times New Roman" w:eastAsia="Times New Roman" w:cs="Times New Roman"/>
          <w:spacing w:val="11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Opin</w:t>
      </w:r>
      <w:r>
        <w:rPr>
          <w:rFonts w:ascii="Times New Roman" w:hAnsi="Times New Roman" w:eastAsia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Care,2005,1(3):</w:t>
      </w:r>
      <w:r>
        <w:rPr>
          <w:rFonts w:ascii="Times New Roman" w:hAnsi="Times New Roman" w:eastAsia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240-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"/>
          <w:sz w:val="17"/>
          <w:szCs w:val="17"/>
        </w:rPr>
        <w:t>244.</w:t>
      </w:r>
    </w:p>
    <w:p>
      <w:pPr>
        <w:spacing w:before="34" w:line="263" w:lineRule="auto"/>
        <w:ind w:left="319" w:right="3" w:hanging="319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[4]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Creteur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De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Backer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Sakr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10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Subling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ual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capnometry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tracks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microcirculatory</w:t>
      </w:r>
      <w:r>
        <w:rPr>
          <w:rFonts w:ascii="Times New Roman" w:hAnsi="Times New Roman" w:eastAsia="Times New Roman" w:cs="Times New Roman"/>
          <w:spacing w:val="17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changes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septic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patients</w:t>
      </w:r>
      <w:r>
        <w:rPr>
          <w:rFonts w:ascii="Times New Roman" w:hAnsi="Times New Roman" w:eastAsia="Times New Roman" w:cs="Times New Roman"/>
          <w:spacing w:val="10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Intensive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Care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Med,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1"/>
          <w:sz w:val="17"/>
          <w:szCs w:val="17"/>
        </w:rPr>
        <w:t>2006,32</w:t>
      </w:r>
      <w:r>
        <w:rPr>
          <w:rFonts w:ascii="宋体" w:hAnsi="宋体" w:eastAsia="宋体" w:cs="宋体"/>
          <w:spacing w:val="2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1"/>
          <w:sz w:val="17"/>
          <w:szCs w:val="17"/>
        </w:rPr>
        <w:t>(4):516-523.</w:t>
      </w:r>
    </w:p>
    <w:p>
      <w:pPr>
        <w:spacing w:before="51" w:line="260" w:lineRule="auto"/>
        <w:ind w:left="319" w:right="1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[5]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Treu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CM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Lupi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Bottino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DA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Sidestream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dark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field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imaging;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evolution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real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time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visu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alization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cutaneous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microcircula-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tion</w:t>
      </w:r>
      <w:r>
        <w:rPr>
          <w:rFonts w:ascii="Times New Roman" w:hAnsi="Times New Roman" w:eastAsia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and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its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potential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application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dermatology</w:t>
      </w:r>
      <w:r>
        <w:rPr>
          <w:rFonts w:ascii="Times New Roman" w:hAnsi="Times New Roman" w:eastAsia="Times New Roman" w:cs="Times New Roman"/>
          <w:spacing w:val="11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Arch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Dermatol</w:t>
      </w:r>
    </w:p>
    <w:p>
      <w:pPr>
        <w:spacing w:before="84" w:line="192" w:lineRule="auto"/>
        <w:ind w:left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Res,2011,303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(2):69-78.doi:10.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1007/s00403-010-</w:t>
      </w:r>
      <w:r>
        <w:rPr>
          <w:rFonts w:ascii="Times New Roman" w:hAnsi="Times New Roman" w:eastAsia="Times New Roman" w:cs="Times New Roman"/>
          <w:spacing w:val="-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1087-7.</w:t>
      </w:r>
    </w:p>
    <w:p>
      <w:pPr>
        <w:spacing w:before="87" w:line="259" w:lineRule="auto"/>
        <w:ind w:left="318" w:right="5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[6]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Bezemer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Bratels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SA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Bakker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Clinical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review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: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clinical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im-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aging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sublingual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microcirculation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critical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ly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ill-where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do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we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stand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[J]?Critical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Care,2012,16(3):224.doi:10.</w:t>
      </w:r>
      <w:r>
        <w:rPr>
          <w:rFonts w:ascii="Times New Roman" w:hAnsi="Times New Roman" w:eastAsia="Times New Roman" w:cs="Times New Roman"/>
          <w:spacing w:val="-20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118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6/</w:t>
      </w:r>
    </w:p>
    <w:p>
      <w:pPr>
        <w:spacing w:before="121" w:line="188" w:lineRule="auto"/>
        <w:ind w:left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cc11236.</w:t>
      </w:r>
    </w:p>
    <w:p>
      <w:pPr>
        <w:spacing w:before="50" w:line="260" w:lineRule="auto"/>
        <w:ind w:left="318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[7]</w:t>
      </w:r>
      <w:r>
        <w:rPr>
          <w:rFonts w:ascii="Times New Roman" w:hAnsi="Times New Roman" w:eastAsia="Times New Roman" w:cs="Times New Roman"/>
          <w:sz w:val="17"/>
          <w:szCs w:val="17"/>
        </w:rPr>
        <w:t>Koch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>De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Backer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>Vincent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JL,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al.Effects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propofol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on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hu-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man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microcirculation</w:t>
      </w:r>
      <w:r>
        <w:rPr>
          <w:rFonts w:ascii="Times New Roman" w:hAnsi="Times New Roman" w:eastAsia="Times New Roman" w:cs="Times New Roman"/>
          <w:spacing w:val="34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23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Br</w:t>
      </w:r>
      <w:r>
        <w:rPr>
          <w:rFonts w:ascii="Times New Roman" w:hAnsi="Times New Roman" w:eastAsia="Times New Roman" w:cs="Times New Roman"/>
          <w:spacing w:val="23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pacing w:val="22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An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aesth,</w:t>
      </w:r>
      <w:r>
        <w:rPr>
          <w:rFonts w:ascii="Times New Roman" w:hAnsi="Times New Roman" w:eastAsia="Times New Roman" w:cs="Times New Roman"/>
          <w:spacing w:val="24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2008,101(4):473-478.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doi:10.</w:t>
      </w:r>
      <w:r>
        <w:rPr>
          <w:rFonts w:ascii="Times New Roman" w:hAnsi="Times New Roman" w:eastAsia="Times New Roman" w:cs="Times New Roman"/>
          <w:spacing w:val="-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1093/bja/aen210.</w:t>
      </w:r>
    </w:p>
    <w:p>
      <w:pPr>
        <w:spacing w:before="85" w:line="260" w:lineRule="auto"/>
        <w:ind w:left="318" w:right="8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[8]Landsverk</w:t>
      </w:r>
      <w:r>
        <w:rPr>
          <w:rFonts w:ascii="Times New Roman" w:hAnsi="Times New Roman" w:eastAsia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SA,</w:t>
      </w:r>
      <w:r>
        <w:rPr>
          <w:rFonts w:ascii="Times New Roman" w:hAnsi="Times New Roman" w:eastAsia="Times New Roman" w:cs="Times New Roman"/>
          <w:spacing w:val="14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Kvandal</w:t>
      </w:r>
      <w:r>
        <w:rPr>
          <w:rFonts w:ascii="Times New Roman" w:hAnsi="Times New Roman" w:eastAsia="Times New Roman" w:cs="Times New Roman"/>
          <w:spacing w:val="14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P,Bernjak</w:t>
      </w:r>
      <w:r>
        <w:rPr>
          <w:rFonts w:ascii="Times New Roman" w:hAnsi="Times New Roman" w:eastAsia="Times New Roman" w:cs="Times New Roman"/>
          <w:spacing w:val="11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A,et</w:t>
      </w:r>
      <w:r>
        <w:rPr>
          <w:rFonts w:ascii="Times New Roman" w:hAnsi="Times New Roman" w:eastAsia="Times New Roman" w:cs="Times New Roman"/>
          <w:spacing w:val="17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al.The</w:t>
      </w:r>
      <w:r>
        <w:rPr>
          <w:rFonts w:ascii="Times New Roman" w:hAnsi="Times New Roman" w:eastAsia="Times New Roman" w:cs="Times New Roman"/>
          <w:spacing w:val="17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effects</w:t>
      </w:r>
      <w:r>
        <w:rPr>
          <w:rFonts w:ascii="Times New Roman" w:hAnsi="Times New Roman" w:eastAsia="Times New Roman" w:cs="Times New Roman"/>
          <w:spacing w:val="17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of general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anesthesia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on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human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skin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microcirculat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ion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evaluated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by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wavelet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transform</w:t>
      </w:r>
      <w:r>
        <w:rPr>
          <w:rFonts w:ascii="Times New Roman" w:hAnsi="Times New Roman" w:eastAsia="Times New Roman" w:cs="Times New Roman"/>
          <w:spacing w:val="30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Anesth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Analg,2007,105(4):1012-</w:t>
      </w:r>
      <w:r>
        <w:rPr>
          <w:rFonts w:ascii="Times New Roman" w:hAnsi="Times New Roman" w:eastAsia="Times New Roman" w:cs="Times New Roman"/>
          <w:spacing w:val="-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1019.</w:t>
      </w:r>
    </w:p>
    <w:p>
      <w:pPr>
        <w:spacing w:before="82" w:line="274" w:lineRule="auto"/>
        <w:ind w:left="319" w:right="1" w:hanging="319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[9]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Landsverk</w:t>
      </w:r>
      <w:r>
        <w:rPr>
          <w:rFonts w:ascii="Times New Roman" w:hAnsi="Times New Roman" w:eastAsia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SA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Kvandal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P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Kjelstrup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Human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ski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microcir-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culation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after brachial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plexus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block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evaluated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by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wavelet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tra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nsform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laser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Doppler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flowmetry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signal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Anesthesiology,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006,105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4"/>
          <w:sz w:val="17"/>
          <w:szCs w:val="17"/>
        </w:rPr>
        <w:t>(3):</w:t>
      </w:r>
      <w:r>
        <w:rPr>
          <w:rFonts w:ascii="宋体" w:hAnsi="宋体" w:eastAsia="宋体" w:cs="宋体"/>
          <w:spacing w:val="-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4"/>
          <w:sz w:val="17"/>
          <w:szCs w:val="17"/>
        </w:rPr>
        <w:t>478-484.</w:t>
      </w:r>
    </w:p>
    <w:p>
      <w:pPr>
        <w:spacing w:before="43" w:line="268" w:lineRule="auto"/>
        <w:ind w:left="318" w:right="7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[10]</w:t>
      </w:r>
      <w:r>
        <w:rPr>
          <w:rFonts w:ascii="Times New Roman" w:hAnsi="Times New Roman" w:eastAsia="Times New Roman" w:cs="Times New Roman"/>
          <w:spacing w:val="10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De</w:t>
      </w:r>
      <w:r>
        <w:rPr>
          <w:rFonts w:ascii="Times New Roman" w:hAnsi="Times New Roman" w:eastAsia="Times New Roman" w:cs="Times New Roman"/>
          <w:spacing w:val="10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Blasi</w:t>
      </w:r>
      <w:r>
        <w:rPr>
          <w:rFonts w:ascii="Times New Roman" w:hAnsi="Times New Roman" w:eastAsia="Times New Roman" w:cs="Times New Roman"/>
          <w:spacing w:val="10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RA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>Palmisani</w:t>
      </w:r>
      <w:r>
        <w:rPr>
          <w:rFonts w:ascii="Times New Roman" w:hAnsi="Times New Roman" w:eastAsia="Times New Roman" w:cs="Times New Roman"/>
          <w:spacing w:val="18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</w:rPr>
        <w:t>Bo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ezi</w:t>
      </w:r>
      <w:r>
        <w:rPr>
          <w:rFonts w:ascii="Times New Roman" w:hAnsi="Times New Roman" w:eastAsia="Times New Roman" w:cs="Times New Roman"/>
          <w:spacing w:val="10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M,et</w:t>
      </w:r>
      <w:r>
        <w:rPr>
          <w:rFonts w:ascii="Times New Roman" w:hAnsi="Times New Roman" w:eastAsia="Times New Roman" w:cs="Times New Roman"/>
          <w:spacing w:val="13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al.Effects</w:t>
      </w:r>
      <w:r>
        <w:rPr>
          <w:rFonts w:ascii="Times New Roman" w:hAnsi="Times New Roman" w:eastAsia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remifentanil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based</w:t>
      </w:r>
      <w:r>
        <w:rPr>
          <w:rFonts w:ascii="Times New Roman" w:hAnsi="Times New Roman" w:eastAsia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general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anaesthesia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with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propofol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or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sevoflurane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on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muscle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microcirculation</w:t>
      </w:r>
      <w:r>
        <w:rPr>
          <w:rFonts w:ascii="Times New Roman" w:hAnsi="Times New Roman" w:eastAsia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as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assessed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by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near-infrared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spectroscopy</w:t>
      </w:r>
      <w:r>
        <w:rPr>
          <w:rFonts w:ascii="Times New Roman" w:hAnsi="Times New Roman" w:eastAsia="Times New Roman" w:cs="Times New Roman"/>
          <w:spacing w:val="11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BrJ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Anaesth,</w:t>
      </w:r>
      <w:r>
        <w:rPr>
          <w:rFonts w:ascii="Times New Roman" w:hAnsi="Times New Roman" w:eastAsia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2008,101(2):171-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177.doi:10.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1093/bja/aen136.</w:t>
      </w:r>
    </w:p>
    <w:p>
      <w:pPr>
        <w:spacing w:before="84" w:line="269" w:lineRule="auto"/>
        <w:ind w:left="318" w:right="5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[11]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AnJX,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Fang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QW,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Huang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CS,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al.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Deeper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total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intravenous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7"/>
          <w:szCs w:val="17"/>
        </w:rPr>
        <w:t>anesthesia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reduced</w:t>
      </w:r>
      <w:r>
        <w:rPr>
          <w:rFonts w:ascii="Times New Roman" w:hAnsi="Times New Roman" w:eastAsia="Times New Roman" w:cs="Times New Roman"/>
          <w:spacing w:val="13"/>
          <w:w w:val="10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incidence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-1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early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postoperative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cognitive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dysfunction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17"/>
          <w:szCs w:val="17"/>
        </w:rPr>
        <w:t>after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microvascular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decompression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for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facial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spasm</w:t>
      </w:r>
      <w:r>
        <w:rPr>
          <w:rFonts w:ascii="Times New Roman" w:hAnsi="Times New Roman" w:eastAsia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7"/>
          <w:szCs w:val="17"/>
        </w:rPr>
        <w:t>[J].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Ne</w:t>
      </w:r>
      <w:r>
        <w:rPr>
          <w:rFonts w:ascii="Times New Roman" w:hAnsi="Times New Roman" w:eastAsia="Times New Roman" w:cs="Times New Roman"/>
          <w:spacing w:val="-7"/>
          <w:sz w:val="17"/>
          <w:szCs w:val="17"/>
        </w:rPr>
        <w:t>urosurg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7"/>
          <w:szCs w:val="17"/>
        </w:rPr>
        <w:t>Anes-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thesiol,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2011,23(1):12-</w:t>
      </w:r>
      <w:r>
        <w:rPr>
          <w:rFonts w:ascii="Times New Roman" w:hAnsi="Times New Roman" w:eastAsia="Times New Roman" w:cs="Times New Roman"/>
          <w:spacing w:val="-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17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doi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:10.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1097/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ANA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.0b013e3181f59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db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4.</w:t>
      </w:r>
    </w:p>
    <w:p>
      <w:pPr>
        <w:spacing w:before="82" w:line="261" w:lineRule="auto"/>
        <w:ind w:left="319" w:right="5" w:hanging="31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[12]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Myles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PS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Leslie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K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McNeil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J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et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Bispectral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index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mo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nitoring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to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prevent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awareness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during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anesthesia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: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Awa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re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randomieed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con-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trolled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trail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[J]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Lancet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2004,363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(9423):1757-</w:t>
      </w:r>
      <w:r>
        <w:rPr>
          <w:rFonts w:ascii="Times New Roman" w:hAnsi="Times New Roman" w:eastAsia="Times New Roman" w:cs="Times New Roman"/>
          <w:spacing w:val="-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1763.</w:t>
      </w:r>
    </w:p>
    <w:p>
      <w:pPr>
        <w:spacing w:before="77" w:line="239" w:lineRule="auto"/>
        <w:ind w:left="1849" w:right="114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(2015-03-16收稿</w:t>
      </w:r>
      <w:r>
        <w:rPr>
          <w:rFonts w:ascii="宋体" w:hAnsi="宋体" w:eastAsia="宋体" w:cs="宋体"/>
          <w:spacing w:val="61"/>
          <w:sz w:val="17"/>
          <w:szCs w:val="17"/>
        </w:rPr>
        <w:t xml:space="preserve"> </w:t>
      </w:r>
      <w:r>
        <w:rPr>
          <w:rFonts w:ascii="宋体" w:hAnsi="宋体" w:eastAsia="宋体" w:cs="宋体"/>
          <w:sz w:val="17"/>
          <w:szCs w:val="17"/>
        </w:rPr>
        <w:t xml:space="preserve">2015-06-25修回) </w:t>
      </w:r>
      <w:r>
        <w:rPr>
          <w:rFonts w:ascii="宋体" w:hAnsi="宋体" w:eastAsia="宋体" w:cs="宋体"/>
          <w:spacing w:val="-6"/>
          <w:sz w:val="17"/>
          <w:szCs w:val="17"/>
        </w:rPr>
        <w:t>(本文编辑</w:t>
      </w:r>
      <w:r>
        <w:rPr>
          <w:rFonts w:ascii="宋体" w:hAnsi="宋体" w:eastAsia="宋体" w:cs="宋体"/>
          <w:spacing w:val="49"/>
          <w:w w:val="10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6"/>
          <w:sz w:val="17"/>
          <w:szCs w:val="17"/>
        </w:rPr>
        <w:t>陆荣展)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6"/>
      <w:pgMar w:top="360" w:right="1095" w:bottom="400" w:left="11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k5OTM5ZjljY2U0NTgxM2NkYzllZjA1MGMzNWYifQ=="/>
  </w:docVars>
  <w:rsids>
    <w:rsidRoot w:val="00000000"/>
    <w:rsid w:val="14026DC2"/>
    <w:rsid w:val="1FB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2022-12-12T05:02:00Z</dcterms:created>
  <dc:creator>Admin</dc:creator>
  <cp:lastModifiedBy>有格。</cp:lastModifiedBy>
  <dcterms:modified xsi:type="dcterms:W3CDTF">2022-12-12T05:04:23Z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514CA8DBC73A42079FAC5E700378D861</vt:lpwstr>
  </property>
</Properties>
</file>